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F0A" w:rsidRPr="00B74F0A" w:rsidRDefault="00B74F0A" w:rsidP="0068665C">
      <w:pPr>
        <w:rPr>
          <w:rFonts w:ascii="Arial" w:hAnsi="Arial" w:cs="Arial"/>
          <w:sz w:val="16"/>
          <w:szCs w:val="16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9A712C" w:rsidRPr="00EA5395" w:rsidTr="00160D29">
        <w:trPr>
          <w:trHeight w:val="602"/>
        </w:trPr>
        <w:tc>
          <w:tcPr>
            <w:tcW w:w="11088" w:type="dxa"/>
          </w:tcPr>
          <w:p w:rsidR="00E37123" w:rsidRPr="00EA5395" w:rsidRDefault="00E37123" w:rsidP="00EA5395">
            <w:pPr>
              <w:ind w:left="92"/>
              <w:rPr>
                <w:rFonts w:ascii="Arial" w:hAnsi="Arial" w:cs="Arial"/>
                <w:b/>
              </w:rPr>
            </w:pPr>
          </w:p>
          <w:p w:rsidR="009A712C" w:rsidRPr="00EA5395" w:rsidRDefault="009A712C" w:rsidP="00EA5395">
            <w:pPr>
              <w:ind w:left="92"/>
              <w:rPr>
                <w:rFonts w:ascii="Arial" w:hAnsi="Arial" w:cs="Arial"/>
                <w:b/>
              </w:rPr>
            </w:pPr>
            <w:r w:rsidRPr="00EA5395">
              <w:rPr>
                <w:rFonts w:ascii="Arial" w:hAnsi="Arial" w:cs="Arial"/>
                <w:b/>
              </w:rPr>
              <w:t xml:space="preserve">Application for Waiver of </w:t>
            </w:r>
            <w:r w:rsidR="00160D29">
              <w:rPr>
                <w:rFonts w:ascii="Arial" w:hAnsi="Arial" w:cs="Arial"/>
                <w:b/>
              </w:rPr>
              <w:t>SDVOB</w:t>
            </w:r>
            <w:r w:rsidRPr="00EA5395">
              <w:rPr>
                <w:rFonts w:ascii="Arial" w:hAnsi="Arial" w:cs="Arial"/>
                <w:b/>
              </w:rPr>
              <w:t xml:space="preserve"> Participation Goal</w:t>
            </w:r>
          </w:p>
          <w:p w:rsidR="009A712C" w:rsidRPr="00EA5395" w:rsidRDefault="009A712C" w:rsidP="00EA5395">
            <w:pPr>
              <w:ind w:left="92"/>
              <w:rPr>
                <w:rFonts w:ascii="Arial" w:hAnsi="Arial" w:cs="Arial"/>
                <w:sz w:val="18"/>
                <w:szCs w:val="18"/>
              </w:rPr>
            </w:pPr>
            <w:r w:rsidRPr="00EA5395">
              <w:rPr>
                <w:rFonts w:ascii="Arial" w:hAnsi="Arial" w:cs="Arial"/>
                <w:sz w:val="18"/>
                <w:szCs w:val="18"/>
              </w:rPr>
              <w:t xml:space="preserve">Instructions for Completing and Submitting an Application for a Waiver of </w:t>
            </w:r>
            <w:r w:rsidR="00160D29">
              <w:rPr>
                <w:rFonts w:ascii="Arial" w:hAnsi="Arial" w:cs="Arial"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Utilization Goals</w:t>
            </w:r>
          </w:p>
          <w:p w:rsidR="009A712C" w:rsidRPr="00EA5395" w:rsidRDefault="009A712C" w:rsidP="00EA5395">
            <w:pPr>
              <w:ind w:left="92"/>
              <w:rPr>
                <w:rFonts w:ascii="Arial" w:hAnsi="Arial" w:cs="Arial"/>
                <w:sz w:val="18"/>
                <w:szCs w:val="18"/>
              </w:rPr>
            </w:pPr>
          </w:p>
          <w:p w:rsidR="009A712C" w:rsidRPr="00EA5395" w:rsidRDefault="009A712C" w:rsidP="00EA5395">
            <w:pPr>
              <w:ind w:left="92"/>
              <w:rPr>
                <w:rFonts w:ascii="Arial" w:hAnsi="Arial" w:cs="Arial"/>
                <w:sz w:val="18"/>
                <w:szCs w:val="18"/>
              </w:rPr>
            </w:pP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395">
              <w:rPr>
                <w:rFonts w:ascii="Arial" w:hAnsi="Arial" w:cs="Arial"/>
                <w:sz w:val="18"/>
                <w:szCs w:val="18"/>
              </w:rPr>
              <w:t>Article 1</w:t>
            </w:r>
            <w:r w:rsidR="00160D29">
              <w:rPr>
                <w:rFonts w:ascii="Arial" w:hAnsi="Arial" w:cs="Arial"/>
                <w:sz w:val="18"/>
                <w:szCs w:val="18"/>
              </w:rPr>
              <w:t>7</w:t>
            </w:r>
            <w:r w:rsidRPr="00EA5395">
              <w:rPr>
                <w:rFonts w:ascii="Arial" w:hAnsi="Arial" w:cs="Arial"/>
                <w:sz w:val="18"/>
                <w:szCs w:val="18"/>
              </w:rPr>
              <w:t>-</w:t>
            </w:r>
            <w:r w:rsidR="00160D29">
              <w:rPr>
                <w:rFonts w:ascii="Arial" w:hAnsi="Arial" w:cs="Arial"/>
                <w:sz w:val="18"/>
                <w:szCs w:val="18"/>
              </w:rPr>
              <w:t>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of the New York State Executive Law and </w:t>
            </w:r>
            <w:r w:rsidR="00160D29">
              <w:rPr>
                <w:rFonts w:ascii="Arial" w:hAnsi="Arial" w:cs="Arial"/>
                <w:sz w:val="18"/>
                <w:szCs w:val="18"/>
              </w:rPr>
              <w:t>9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NYCRR </w:t>
            </w:r>
            <w:r w:rsidR="00160D29">
              <w:rPr>
                <w:rFonts w:ascii="Arial" w:hAnsi="Arial" w:cs="Arial"/>
                <w:sz w:val="18"/>
                <w:szCs w:val="18"/>
              </w:rPr>
              <w:t>252.2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require state agencies to set goals for participation by </w:t>
            </w:r>
            <w:r w:rsidR="00160D29">
              <w:rPr>
                <w:rFonts w:ascii="Arial" w:hAnsi="Arial" w:cs="Arial"/>
                <w:sz w:val="18"/>
                <w:szCs w:val="18"/>
              </w:rPr>
              <w:t>Service-Disabled Veteran-Owned Businesses (SDVOB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s) on many types of State contracts.  Prior to the contract award, goals are established for </w:t>
            </w:r>
            <w:r w:rsidR="00796740">
              <w:rPr>
                <w:rFonts w:ascii="Arial" w:hAnsi="Arial" w:cs="Arial"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utilization, expressed as a percentage of payments made under the contract.  The regulations also allow agencies to grant waivers of </w:t>
            </w:r>
            <w:r w:rsidR="00796740">
              <w:rPr>
                <w:rFonts w:ascii="Arial" w:hAnsi="Arial" w:cs="Arial"/>
                <w:sz w:val="18"/>
                <w:szCs w:val="18"/>
              </w:rPr>
              <w:t>the SDVOB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utilization goal either prior to a contract award or after the award has been made, provided the contractor demonstrates an inability to solicit </w:t>
            </w:r>
            <w:r w:rsidR="00796740">
              <w:rPr>
                <w:rFonts w:ascii="Arial" w:hAnsi="Arial" w:cs="Arial"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participation despite good faith efforts to that end.  In order for a waiver to be granted, the contractor must submit a completed “Application for Waiver of </w:t>
            </w:r>
            <w:r w:rsidR="00796740">
              <w:rPr>
                <w:rFonts w:ascii="Arial" w:hAnsi="Arial" w:cs="Arial"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Utilization Goal” form along with the required supporting documentation.    </w:t>
            </w: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5395">
              <w:rPr>
                <w:rFonts w:ascii="Arial" w:hAnsi="Arial" w:cs="Arial"/>
                <w:b/>
                <w:sz w:val="18"/>
                <w:szCs w:val="18"/>
              </w:rPr>
              <w:t xml:space="preserve">Section 1:  Basic Information </w:t>
            </w: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712C" w:rsidRPr="00EA5395" w:rsidRDefault="009A712C" w:rsidP="00EA5395">
            <w:pPr>
              <w:pStyle w:val="ListParagraph"/>
              <w:ind w:lef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395">
              <w:rPr>
                <w:rFonts w:ascii="Arial" w:hAnsi="Arial" w:cs="Arial"/>
                <w:sz w:val="18"/>
                <w:szCs w:val="18"/>
              </w:rPr>
              <w:t xml:space="preserve">Enter the contractor’s name, address, federal identification number, and the contract number in the spaces provided.  Enter the </w:t>
            </w:r>
            <w:r w:rsidR="00796740">
              <w:rPr>
                <w:rFonts w:ascii="Arial" w:hAnsi="Arial" w:cs="Arial"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utilization goal set forth in the solicitation or assigned contract.</w:t>
            </w: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5395">
              <w:rPr>
                <w:rFonts w:ascii="Arial" w:hAnsi="Arial" w:cs="Arial"/>
                <w:b/>
                <w:sz w:val="18"/>
                <w:szCs w:val="18"/>
              </w:rPr>
              <w:t>Section 2:  Type of Waiver Request</w:t>
            </w: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395">
              <w:rPr>
                <w:rFonts w:ascii="Arial" w:hAnsi="Arial" w:cs="Arial"/>
                <w:sz w:val="18"/>
                <w:szCs w:val="18"/>
              </w:rPr>
              <w:t xml:space="preserve">Check the type(s) of waiver requested.  You may request a total or partial waiver of the </w:t>
            </w:r>
            <w:r w:rsidR="00796740">
              <w:rPr>
                <w:rFonts w:ascii="Arial" w:hAnsi="Arial" w:cs="Arial"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goal</w:t>
            </w:r>
            <w:r w:rsidR="00796740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If you request a partial waiver of the </w:t>
            </w:r>
            <w:r w:rsidR="00796740">
              <w:rPr>
                <w:rFonts w:ascii="Arial" w:hAnsi="Arial" w:cs="Arial"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goal, enter the revised goal for participation in the box provided.  </w:t>
            </w: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395">
              <w:rPr>
                <w:rFonts w:ascii="Arial" w:hAnsi="Arial" w:cs="Arial"/>
                <w:sz w:val="18"/>
                <w:szCs w:val="18"/>
              </w:rPr>
              <w:t xml:space="preserve">Use the space provided to provide a rationale for your waiver request.  You may attach additional sheets, if necessary.  </w:t>
            </w: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5395">
              <w:rPr>
                <w:rFonts w:ascii="Arial" w:hAnsi="Arial" w:cs="Arial"/>
                <w:b/>
                <w:sz w:val="18"/>
                <w:szCs w:val="18"/>
              </w:rPr>
              <w:t>Section 3:  Supporting Documentation</w:t>
            </w: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712C" w:rsidRDefault="009A712C" w:rsidP="00EA5395">
            <w:pPr>
              <w:ind w:lef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395">
              <w:rPr>
                <w:rFonts w:ascii="Arial" w:hAnsi="Arial" w:cs="Arial"/>
                <w:sz w:val="18"/>
                <w:szCs w:val="18"/>
              </w:rPr>
              <w:t xml:space="preserve">Extensive documentation is required to demonstrate good faith efforts to comply with the </w:t>
            </w:r>
            <w:r w:rsidR="00796740">
              <w:rPr>
                <w:rFonts w:ascii="Arial" w:hAnsi="Arial" w:cs="Arial"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goal. See the form for details on the required documentation.   </w:t>
            </w:r>
          </w:p>
          <w:p w:rsidR="000D79A3" w:rsidRDefault="000D79A3" w:rsidP="00EA5395">
            <w:pPr>
              <w:ind w:left="8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5395">
              <w:rPr>
                <w:rFonts w:ascii="Arial" w:hAnsi="Arial" w:cs="Arial"/>
                <w:b/>
                <w:sz w:val="18"/>
                <w:szCs w:val="18"/>
              </w:rPr>
              <w:t>Section 4:  Signature and Contact Information</w:t>
            </w: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395">
              <w:rPr>
                <w:rFonts w:ascii="Arial" w:hAnsi="Arial" w:cs="Arial"/>
                <w:sz w:val="18"/>
                <w:szCs w:val="18"/>
              </w:rPr>
              <w:t xml:space="preserve">The waiver application must be signed by someone authorized to discuss the waiver with OGS.  By signing the waiver application, the contractor certifies that a good faith effort has been made to promote </w:t>
            </w:r>
            <w:r w:rsidR="00796740">
              <w:rPr>
                <w:rFonts w:ascii="Arial" w:hAnsi="Arial" w:cs="Arial"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participation pursuant to the </w:t>
            </w:r>
            <w:r w:rsidR="00796740">
              <w:rPr>
                <w:rFonts w:ascii="Arial" w:hAnsi="Arial" w:cs="Arial"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sz w:val="18"/>
                <w:szCs w:val="18"/>
              </w:rPr>
              <w:t xml:space="preserve"> requirements set forth under the contract.  Failure to submit complete and accurate information may result in a finding of non-compliance, non-responsibility, and a suspension or termination of the contract.  </w:t>
            </w:r>
          </w:p>
          <w:p w:rsidR="009A712C" w:rsidRPr="00EA5395" w:rsidRDefault="009A712C" w:rsidP="00EA5395">
            <w:pPr>
              <w:ind w:left="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712C" w:rsidRPr="00EA5395" w:rsidRDefault="009A712C" w:rsidP="00EA539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395">
              <w:rPr>
                <w:rFonts w:ascii="Arial" w:hAnsi="Arial" w:cs="Arial"/>
                <w:b/>
                <w:i/>
                <w:sz w:val="18"/>
                <w:szCs w:val="18"/>
              </w:rPr>
              <w:t>Note:</w:t>
            </w:r>
            <w:r w:rsidRPr="00EA5395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EA5395">
              <w:rPr>
                <w:rFonts w:ascii="Arial" w:hAnsi="Arial" w:cs="Arial"/>
                <w:b/>
                <w:i/>
                <w:sz w:val="18"/>
                <w:szCs w:val="18"/>
              </w:rPr>
              <w:t>Unless</w:t>
            </w:r>
            <w:r w:rsidR="0079674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</w:t>
            </w:r>
            <w:r w:rsidRPr="00EA539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total waiver </w:t>
            </w:r>
            <w:r w:rsidR="00796740">
              <w:rPr>
                <w:rFonts w:ascii="Arial" w:hAnsi="Arial" w:cs="Arial"/>
                <w:b/>
                <w:i/>
                <w:sz w:val="18"/>
                <w:szCs w:val="18"/>
              </w:rPr>
              <w:t>of</w:t>
            </w:r>
            <w:r w:rsidRPr="00EA539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96740">
              <w:rPr>
                <w:rFonts w:ascii="Arial" w:hAnsi="Arial" w:cs="Arial"/>
                <w:b/>
                <w:i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participation have been granted, the contractor is required to submit all reports and documents—including </w:t>
            </w:r>
            <w:r w:rsidR="00796740">
              <w:rPr>
                <w:rFonts w:ascii="Arial" w:hAnsi="Arial" w:cs="Arial"/>
                <w:b/>
                <w:i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compliance reports—pursuant to the provisions set forth in the contract, to evidence compliance with the </w:t>
            </w:r>
            <w:r w:rsidR="00796740">
              <w:rPr>
                <w:rFonts w:ascii="Arial" w:hAnsi="Arial" w:cs="Arial"/>
                <w:b/>
                <w:i/>
                <w:sz w:val="18"/>
                <w:szCs w:val="18"/>
              </w:rPr>
              <w:t>SDVOB</w:t>
            </w:r>
            <w:r w:rsidRPr="00EA539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goal.</w:t>
            </w:r>
          </w:p>
        </w:tc>
      </w:tr>
    </w:tbl>
    <w:p w:rsidR="0054713F" w:rsidRDefault="005471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:rsidR="00DF28F9" w:rsidRDefault="00DF28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:rsidR="00DF28F9" w:rsidRPr="0090130B" w:rsidRDefault="00DF28F9" w:rsidP="00DF28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90130B">
        <w:rPr>
          <w:rFonts w:ascii="Arial" w:hAnsi="Arial" w:cs="Arial"/>
          <w:sz w:val="20"/>
          <w:szCs w:val="20"/>
        </w:rPr>
        <w:t>Submit to:</w:t>
      </w:r>
    </w:p>
    <w:p w:rsidR="00DF28F9" w:rsidRPr="0090130B" w:rsidRDefault="00DF28F9" w:rsidP="00DF28F9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  <w:sz w:val="20"/>
          <w:szCs w:val="20"/>
        </w:rPr>
      </w:pPr>
      <w:r w:rsidRPr="0090130B">
        <w:rPr>
          <w:rFonts w:ascii="Arial" w:hAnsi="Arial" w:cs="Arial"/>
          <w:sz w:val="20"/>
          <w:szCs w:val="20"/>
        </w:rPr>
        <w:t>NYS Office of General Services</w:t>
      </w:r>
    </w:p>
    <w:p w:rsidR="00DF28F9" w:rsidRPr="0090130B" w:rsidRDefault="00DF28F9" w:rsidP="00DF28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90130B">
        <w:rPr>
          <w:rFonts w:ascii="Arial" w:hAnsi="Arial" w:cs="Arial"/>
          <w:sz w:val="20"/>
          <w:szCs w:val="20"/>
        </w:rPr>
        <w:t xml:space="preserve">Office of Business </w:t>
      </w:r>
      <w:r w:rsidR="008D2A50">
        <w:rPr>
          <w:rFonts w:ascii="Arial" w:hAnsi="Arial" w:cs="Arial"/>
          <w:sz w:val="20"/>
          <w:szCs w:val="20"/>
        </w:rPr>
        <w:t>Diversity</w:t>
      </w:r>
      <w:bookmarkStart w:id="0" w:name="_GoBack"/>
      <w:bookmarkEnd w:id="0"/>
    </w:p>
    <w:p w:rsidR="00DF28F9" w:rsidRPr="0090130B" w:rsidRDefault="00DF28F9" w:rsidP="00DF28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90130B">
        <w:rPr>
          <w:rFonts w:ascii="Arial" w:hAnsi="Arial" w:cs="Arial"/>
          <w:sz w:val="20"/>
          <w:szCs w:val="20"/>
        </w:rPr>
        <w:t xml:space="preserve">GNARESP, Corning Tower, </w:t>
      </w:r>
      <w:r>
        <w:rPr>
          <w:rFonts w:ascii="Arial" w:hAnsi="Arial" w:cs="Arial"/>
          <w:sz w:val="20"/>
          <w:szCs w:val="20"/>
        </w:rPr>
        <w:t>29</w:t>
      </w:r>
      <w:r w:rsidRPr="0028626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Floor</w:t>
      </w:r>
    </w:p>
    <w:p w:rsidR="00160D29" w:rsidRDefault="00DF28F9" w:rsidP="00DF28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90130B">
        <w:rPr>
          <w:rFonts w:ascii="Arial" w:hAnsi="Arial" w:cs="Arial"/>
          <w:sz w:val="20"/>
          <w:szCs w:val="20"/>
        </w:rPr>
        <w:t xml:space="preserve">Albany, NY 12242  </w:t>
      </w:r>
    </w:p>
    <w:p w:rsidR="00DF28F9" w:rsidRPr="00B74F0A" w:rsidRDefault="00591231" w:rsidP="00DF28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hyperlink r:id="rId6" w:history="1">
        <w:r w:rsidR="00160D29" w:rsidRPr="00160D29">
          <w:rPr>
            <w:rStyle w:val="Hyperlink"/>
            <w:rFonts w:ascii="Arial" w:hAnsi="Arial" w:cs="Arial"/>
            <w:sz w:val="20"/>
            <w:szCs w:val="20"/>
          </w:rPr>
          <w:t>ogs.sm.sdvobcomp@ogs.ny.gov</w:t>
        </w:r>
      </w:hyperlink>
      <w:r w:rsidR="00DF28F9" w:rsidRPr="0090130B">
        <w:rPr>
          <w:rFonts w:ascii="Arial" w:hAnsi="Arial" w:cs="Arial"/>
          <w:sz w:val="20"/>
          <w:szCs w:val="20"/>
        </w:rPr>
        <w:tab/>
      </w:r>
    </w:p>
    <w:sectPr w:rsidR="00DF28F9" w:rsidRPr="00B74F0A" w:rsidSect="00C376F1">
      <w:headerReference w:type="default" r:id="rId7"/>
      <w:footerReference w:type="default" r:id="rId8"/>
      <w:pgSz w:w="12240" w:h="15840" w:code="1"/>
      <w:pgMar w:top="720" w:right="108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54E" w:rsidRDefault="00B0754E">
      <w:r>
        <w:separator/>
      </w:r>
    </w:p>
  </w:endnote>
  <w:endnote w:type="continuationSeparator" w:id="0">
    <w:p w:rsidR="00B0754E" w:rsidRDefault="00B0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Ind w:w="-90" w:type="dxa"/>
      <w:tblLook w:val="0000" w:firstRow="0" w:lastRow="0" w:firstColumn="0" w:lastColumn="0" w:noHBand="0" w:noVBand="0"/>
    </w:tblPr>
    <w:tblGrid>
      <w:gridCol w:w="4960"/>
      <w:gridCol w:w="5840"/>
    </w:tblGrid>
    <w:tr w:rsidR="00254CCC" w:rsidTr="00160D29">
      <w:trPr>
        <w:trHeight w:val="144"/>
      </w:trPr>
      <w:tc>
        <w:tcPr>
          <w:tcW w:w="4960" w:type="dxa"/>
          <w:tcMar>
            <w:left w:w="0" w:type="dxa"/>
            <w:right w:w="115" w:type="dxa"/>
          </w:tcMar>
        </w:tcPr>
        <w:p w:rsidR="00254CCC" w:rsidRDefault="00254CCC" w:rsidP="00160D29">
          <w:pPr>
            <w:pStyle w:val="Footer"/>
            <w:ind w:left="-12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BDC 333</w:t>
          </w:r>
          <w:r w:rsidR="00C01958">
            <w:rPr>
              <w:rFonts w:ascii="Arial" w:hAnsi="Arial" w:cs="Arial"/>
              <w:b/>
              <w:bCs/>
              <w:sz w:val="16"/>
            </w:rPr>
            <w:t>.1</w:t>
          </w:r>
          <w:r w:rsidR="00160D29">
            <w:rPr>
              <w:rFonts w:ascii="Arial" w:hAnsi="Arial" w:cs="Arial"/>
              <w:b/>
              <w:bCs/>
              <w:sz w:val="16"/>
            </w:rPr>
            <w:t>S</w:t>
          </w:r>
          <w:r>
            <w:rPr>
              <w:rFonts w:ascii="Arial" w:hAnsi="Arial" w:cs="Arial"/>
              <w:b/>
              <w:bCs/>
              <w:sz w:val="16"/>
            </w:rPr>
            <w:t xml:space="preserve"> Inst</w:t>
          </w:r>
          <w:r w:rsidR="00456363">
            <w:rPr>
              <w:rFonts w:ascii="Arial" w:hAnsi="Arial" w:cs="Arial"/>
              <w:b/>
              <w:bCs/>
              <w:sz w:val="16"/>
            </w:rPr>
            <w:t>r. (Rev0</w:t>
          </w:r>
          <w:r w:rsidR="008D2A50">
            <w:rPr>
              <w:rFonts w:ascii="Arial" w:hAnsi="Arial" w:cs="Arial"/>
              <w:b/>
              <w:bCs/>
              <w:sz w:val="16"/>
            </w:rPr>
            <w:t>1</w:t>
          </w:r>
          <w:r>
            <w:rPr>
              <w:rFonts w:ascii="Arial" w:hAnsi="Arial" w:cs="Arial"/>
              <w:b/>
              <w:bCs/>
              <w:sz w:val="16"/>
            </w:rPr>
            <w:t>)</w:t>
          </w:r>
        </w:p>
      </w:tc>
      <w:tc>
        <w:tcPr>
          <w:tcW w:w="5840" w:type="dxa"/>
        </w:tcPr>
        <w:p w:rsidR="00254CCC" w:rsidRPr="00B74F0A" w:rsidRDefault="00254CCC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</w:tbl>
  <w:p w:rsidR="00254CCC" w:rsidRPr="00B74F0A" w:rsidRDefault="00254CCC">
    <w:pPr>
      <w:pStyle w:val="Footer"/>
      <w:rPr>
        <w:rFonts w:ascii="Arial" w:hAnsi="Arial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54E" w:rsidRDefault="00B0754E">
      <w:r>
        <w:separator/>
      </w:r>
    </w:p>
  </w:footnote>
  <w:footnote w:type="continuationSeparator" w:id="0">
    <w:p w:rsidR="00B0754E" w:rsidRDefault="00B0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50" w:type="dxa"/>
      <w:tblInd w:w="-252" w:type="dxa"/>
      <w:tblLayout w:type="fixed"/>
      <w:tblLook w:val="0000" w:firstRow="0" w:lastRow="0" w:firstColumn="0" w:lastColumn="0" w:noHBand="0" w:noVBand="0"/>
    </w:tblPr>
    <w:tblGrid>
      <w:gridCol w:w="7110"/>
      <w:gridCol w:w="4140"/>
    </w:tblGrid>
    <w:tr w:rsidR="00C01958" w:rsidRPr="00C01958" w:rsidTr="000D57C1">
      <w:trPr>
        <w:cantSplit/>
        <w:trHeight w:hRule="exact" w:val="540"/>
      </w:trPr>
      <w:tc>
        <w:tcPr>
          <w:tcW w:w="7110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C01958" w:rsidRPr="00C01958" w:rsidRDefault="008D2A50" w:rsidP="00C01958">
          <w:pPr>
            <w:tabs>
              <w:tab w:val="center" w:pos="4320"/>
              <w:tab w:val="right" w:pos="8640"/>
            </w:tabs>
            <w:rPr>
              <w:highlight w:val="yellow"/>
            </w:rPr>
          </w:pPr>
          <w:r w:rsidRPr="0074524A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style="width:319.5pt;height:60.75pt;visibility:visible;mso-wrap-style:square">
                <v:imagedata r:id="rId1" o:title=""/>
              </v:shape>
            </w:pict>
          </w:r>
        </w:p>
      </w:tc>
      <w:tc>
        <w:tcPr>
          <w:tcW w:w="41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01958" w:rsidRPr="00C01958" w:rsidRDefault="00C01958" w:rsidP="00C01958">
          <w:pPr>
            <w:tabs>
              <w:tab w:val="center" w:pos="4320"/>
              <w:tab w:val="right" w:pos="8640"/>
            </w:tabs>
            <w:spacing w:before="20"/>
            <w:jc w:val="right"/>
            <w:rPr>
              <w:rFonts w:ascii="Arial" w:hAnsi="Arial" w:cs="Arial"/>
              <w:bCs/>
              <w:i/>
              <w:iCs/>
              <w:caps/>
              <w:color w:val="E75300"/>
              <w:sz w:val="16"/>
              <w:szCs w:val="18"/>
            </w:rPr>
          </w:pPr>
          <w:r w:rsidRPr="00C01958">
            <w:rPr>
              <w:rFonts w:ascii="Arial" w:hAnsi="Arial" w:cs="Arial"/>
              <w:b/>
              <w:bCs/>
              <w:color w:val="E75300"/>
            </w:rPr>
            <w:t>Commodity and Service Contracts</w:t>
          </w:r>
        </w:p>
      </w:tc>
    </w:tr>
    <w:tr w:rsidR="00C01958" w:rsidRPr="00C01958" w:rsidTr="000D57C1">
      <w:trPr>
        <w:cantSplit/>
        <w:trHeight w:hRule="exact" w:val="1080"/>
      </w:trPr>
      <w:tc>
        <w:tcPr>
          <w:tcW w:w="7110" w:type="dxa"/>
          <w:vMerge/>
          <w:tcBorders>
            <w:left w:val="nil"/>
            <w:bottom w:val="nil"/>
            <w:right w:val="nil"/>
          </w:tcBorders>
        </w:tcPr>
        <w:p w:rsidR="00C01958" w:rsidRPr="00C01958" w:rsidRDefault="00C01958" w:rsidP="00C01958">
          <w:pPr>
            <w:tabs>
              <w:tab w:val="center" w:pos="4320"/>
              <w:tab w:val="right" w:pos="8640"/>
            </w:tabs>
            <w:rPr>
              <w:noProof/>
              <w:sz w:val="17"/>
              <w:szCs w:val="17"/>
            </w:rPr>
          </w:pPr>
        </w:p>
      </w:tc>
      <w:tc>
        <w:tcPr>
          <w:tcW w:w="4140" w:type="dxa"/>
          <w:tcBorders>
            <w:top w:val="nil"/>
            <w:left w:val="nil"/>
            <w:bottom w:val="nil"/>
            <w:right w:val="nil"/>
          </w:tcBorders>
        </w:tcPr>
        <w:p w:rsidR="00C01958" w:rsidRPr="00C01958" w:rsidRDefault="00C01958" w:rsidP="00C01958">
          <w:pPr>
            <w:framePr w:w="5453" w:h="1441" w:hSpace="180" w:wrap="auto" w:vAnchor="text" w:hAnchor="page" w:x="6049" w:y="1"/>
            <w:spacing w:before="20"/>
            <w:jc w:val="right"/>
            <w:rPr>
              <w:rFonts w:ascii="Arial" w:hAnsi="Arial" w:cs="Arial"/>
              <w:color w:val="E75300"/>
              <w:sz w:val="14"/>
              <w:szCs w:val="14"/>
            </w:rPr>
          </w:pPr>
          <w:r w:rsidRPr="00C01958">
            <w:rPr>
              <w:rFonts w:ascii="Arial" w:hAnsi="Arial" w:cs="Arial"/>
              <w:color w:val="E75300"/>
              <w:sz w:val="14"/>
              <w:szCs w:val="14"/>
            </w:rPr>
            <w:t xml:space="preserve">Office of Business </w:t>
          </w:r>
          <w:r w:rsidR="008D2A50">
            <w:rPr>
              <w:rFonts w:ascii="Arial" w:hAnsi="Arial" w:cs="Arial"/>
              <w:color w:val="E75300"/>
              <w:sz w:val="14"/>
              <w:szCs w:val="14"/>
            </w:rPr>
            <w:t>Diversity</w:t>
          </w:r>
        </w:p>
        <w:p w:rsidR="00C01958" w:rsidRPr="00C01958" w:rsidRDefault="00C01958" w:rsidP="00C01958">
          <w:pPr>
            <w:framePr w:w="5453" w:h="1441" w:hSpace="180" w:wrap="auto" w:vAnchor="text" w:hAnchor="page" w:x="6049" w:y="1"/>
            <w:spacing w:before="20"/>
            <w:jc w:val="right"/>
            <w:rPr>
              <w:rFonts w:ascii="Arial" w:hAnsi="Arial" w:cs="Arial"/>
              <w:color w:val="E75300"/>
              <w:sz w:val="14"/>
              <w:szCs w:val="14"/>
            </w:rPr>
          </w:pPr>
          <w:r w:rsidRPr="00C01958">
            <w:rPr>
              <w:rFonts w:ascii="Arial" w:hAnsi="Arial" w:cs="Arial"/>
              <w:color w:val="E75300"/>
              <w:sz w:val="14"/>
              <w:szCs w:val="14"/>
            </w:rPr>
            <w:t xml:space="preserve"> 29</w:t>
          </w:r>
          <w:r w:rsidRPr="00C01958">
            <w:rPr>
              <w:rFonts w:ascii="Arial" w:hAnsi="Arial" w:cs="Arial"/>
              <w:color w:val="E75300"/>
              <w:sz w:val="14"/>
              <w:szCs w:val="14"/>
              <w:vertAlign w:val="superscript"/>
            </w:rPr>
            <w:t xml:space="preserve">th </w:t>
          </w:r>
          <w:r w:rsidRPr="00C01958">
            <w:rPr>
              <w:rFonts w:ascii="Arial" w:hAnsi="Arial" w:cs="Arial"/>
              <w:color w:val="E75300"/>
              <w:sz w:val="14"/>
              <w:szCs w:val="14"/>
            </w:rPr>
            <w:t>Floor, Corning Tower</w:t>
          </w:r>
        </w:p>
        <w:p w:rsidR="00C01958" w:rsidRPr="00C01958" w:rsidRDefault="00C01958" w:rsidP="00C01958">
          <w:pPr>
            <w:keepNext/>
            <w:spacing w:before="20"/>
            <w:jc w:val="right"/>
            <w:outlineLvl w:val="1"/>
            <w:rPr>
              <w:rFonts w:ascii="Arial" w:hAnsi="Arial" w:cs="Arial"/>
              <w:bCs/>
              <w:color w:val="E75300"/>
              <w:sz w:val="14"/>
              <w:szCs w:val="14"/>
            </w:rPr>
          </w:pPr>
          <w:r w:rsidRPr="00C01958">
            <w:rPr>
              <w:rFonts w:ascii="Arial" w:hAnsi="Arial" w:cs="Arial"/>
              <w:bCs/>
              <w:iCs/>
              <w:color w:val="E75300"/>
              <w:sz w:val="14"/>
              <w:szCs w:val="14"/>
            </w:rPr>
            <w:t>The Governor Nelson A. Rockefeller Empire State Plaza</w:t>
          </w:r>
        </w:p>
        <w:p w:rsidR="00C01958" w:rsidRPr="00C01958" w:rsidRDefault="00C01958" w:rsidP="00C01958">
          <w:pPr>
            <w:tabs>
              <w:tab w:val="center" w:pos="4320"/>
              <w:tab w:val="right" w:pos="8640"/>
            </w:tabs>
            <w:spacing w:before="20"/>
            <w:jc w:val="right"/>
            <w:rPr>
              <w:rFonts w:ascii="Arial" w:hAnsi="Arial" w:cs="Arial"/>
              <w:bCs/>
              <w:iCs/>
              <w:color w:val="E75300"/>
              <w:sz w:val="14"/>
              <w:szCs w:val="14"/>
            </w:rPr>
          </w:pPr>
          <w:r w:rsidRPr="00C01958">
            <w:rPr>
              <w:rFonts w:ascii="Arial" w:hAnsi="Arial" w:cs="Arial"/>
              <w:bCs/>
              <w:iCs/>
              <w:color w:val="E75300"/>
              <w:sz w:val="14"/>
              <w:szCs w:val="14"/>
            </w:rPr>
            <w:t>Albany, New York 12242</w:t>
          </w:r>
        </w:p>
        <w:p w:rsidR="00C01958" w:rsidRPr="00C01958" w:rsidRDefault="00C01958" w:rsidP="00C01958">
          <w:pPr>
            <w:spacing w:before="20"/>
            <w:jc w:val="right"/>
            <w:rPr>
              <w:rFonts w:ascii="Arial" w:hAnsi="Arial" w:cs="Arial"/>
              <w:b/>
              <w:bCs/>
              <w:i/>
              <w:iCs/>
              <w:color w:val="E75300"/>
              <w:sz w:val="18"/>
              <w:szCs w:val="18"/>
            </w:rPr>
          </w:pPr>
          <w:r w:rsidRPr="00C01958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Phone: (518) 486-9284</w:t>
          </w:r>
          <w:r w:rsidRPr="00C01958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ab/>
          </w:r>
          <w:r w:rsidRPr="00C01958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ab/>
            <w:t>FAX: (518) 486-9285</w:t>
          </w:r>
        </w:p>
      </w:tc>
    </w:tr>
  </w:tbl>
  <w:p w:rsidR="00254CCC" w:rsidRDefault="00254CCC" w:rsidP="00254CCC">
    <w:pPr>
      <w:pStyle w:val="Header"/>
      <w:spacing w:after="360"/>
      <w:ind w:left="-360" w:right="288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kuKe88bi6OMPsJshPxg/lfmn1Agm9fNzRQIt7rhwmc35XUnTuzHMJX7TDo+8P3y9fkEPn+PMztXtdIGIzUDFUg==" w:salt="tZyY0BsU55VwMvQZ41Mc2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21A3"/>
    <w:rsid w:val="0001264C"/>
    <w:rsid w:val="0003751F"/>
    <w:rsid w:val="00050D96"/>
    <w:rsid w:val="00086B78"/>
    <w:rsid w:val="000C2B95"/>
    <w:rsid w:val="000D79A3"/>
    <w:rsid w:val="00146EC7"/>
    <w:rsid w:val="00152324"/>
    <w:rsid w:val="00160D29"/>
    <w:rsid w:val="002034F5"/>
    <w:rsid w:val="00251A17"/>
    <w:rsid w:val="00254CCC"/>
    <w:rsid w:val="002921A3"/>
    <w:rsid w:val="002A410E"/>
    <w:rsid w:val="002E09B8"/>
    <w:rsid w:val="002E41CE"/>
    <w:rsid w:val="002E4510"/>
    <w:rsid w:val="003918CD"/>
    <w:rsid w:val="003C3896"/>
    <w:rsid w:val="004014E9"/>
    <w:rsid w:val="0041308E"/>
    <w:rsid w:val="00436FB4"/>
    <w:rsid w:val="00456363"/>
    <w:rsid w:val="0047554B"/>
    <w:rsid w:val="004E6E1E"/>
    <w:rsid w:val="0054713F"/>
    <w:rsid w:val="005872CB"/>
    <w:rsid w:val="00591231"/>
    <w:rsid w:val="005973E3"/>
    <w:rsid w:val="005B30F2"/>
    <w:rsid w:val="005E4FED"/>
    <w:rsid w:val="005F0B88"/>
    <w:rsid w:val="006228E1"/>
    <w:rsid w:val="00637D5E"/>
    <w:rsid w:val="00661799"/>
    <w:rsid w:val="0068665C"/>
    <w:rsid w:val="006C1D98"/>
    <w:rsid w:val="006C33FD"/>
    <w:rsid w:val="006E2537"/>
    <w:rsid w:val="006F671D"/>
    <w:rsid w:val="00715407"/>
    <w:rsid w:val="00753E0E"/>
    <w:rsid w:val="00796740"/>
    <w:rsid w:val="007C3845"/>
    <w:rsid w:val="007D0CFB"/>
    <w:rsid w:val="008300A1"/>
    <w:rsid w:val="008B25FB"/>
    <w:rsid w:val="008D1F00"/>
    <w:rsid w:val="008D2A50"/>
    <w:rsid w:val="00933F67"/>
    <w:rsid w:val="0098358C"/>
    <w:rsid w:val="009A712C"/>
    <w:rsid w:val="009A7BA1"/>
    <w:rsid w:val="009B501E"/>
    <w:rsid w:val="00A07484"/>
    <w:rsid w:val="00A3685F"/>
    <w:rsid w:val="00AB22C9"/>
    <w:rsid w:val="00AB3940"/>
    <w:rsid w:val="00AE3C3B"/>
    <w:rsid w:val="00AF5B0A"/>
    <w:rsid w:val="00B0754E"/>
    <w:rsid w:val="00B74F0A"/>
    <w:rsid w:val="00C01958"/>
    <w:rsid w:val="00C376F1"/>
    <w:rsid w:val="00C4506C"/>
    <w:rsid w:val="00C76488"/>
    <w:rsid w:val="00D01FC1"/>
    <w:rsid w:val="00D74ED4"/>
    <w:rsid w:val="00DF28F9"/>
    <w:rsid w:val="00E207F7"/>
    <w:rsid w:val="00E37123"/>
    <w:rsid w:val="00EA5395"/>
    <w:rsid w:val="00EF269C"/>
    <w:rsid w:val="00EF57E7"/>
    <w:rsid w:val="00F038D8"/>
    <w:rsid w:val="00F236EB"/>
    <w:rsid w:val="00F36461"/>
    <w:rsid w:val="00FD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4:docId w14:val="7442C1D4"/>
  <w15:docId w15:val="{E2D9EF94-DCBE-4448-8C7B-CE4A3908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376F1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Arial" w:hAnsi="Arial" w:cs="Arial"/>
      <w:i/>
      <w:iCs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A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715407"/>
    <w:rPr>
      <w:sz w:val="24"/>
      <w:szCs w:val="24"/>
    </w:rPr>
  </w:style>
  <w:style w:type="paragraph" w:styleId="BalloonText">
    <w:name w:val="Balloon Text"/>
    <w:basedOn w:val="Normal"/>
    <w:link w:val="BalloonTextChar"/>
    <w:rsid w:val="00715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540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376F1"/>
    <w:rPr>
      <w:rFonts w:ascii="Arial" w:hAnsi="Arial" w:cs="Arial"/>
      <w:i/>
      <w:iCs/>
      <w:sz w:val="14"/>
      <w:szCs w:val="18"/>
    </w:rPr>
  </w:style>
  <w:style w:type="paragraph" w:styleId="Caption">
    <w:name w:val="caption"/>
    <w:basedOn w:val="Normal"/>
    <w:next w:val="Normal"/>
    <w:qFormat/>
    <w:rsid w:val="00C376F1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i/>
      <w:sz w:val="16"/>
      <w:szCs w:val="20"/>
    </w:rPr>
  </w:style>
  <w:style w:type="character" w:styleId="Hyperlink">
    <w:name w:val="Hyperlink"/>
    <w:basedOn w:val="DefaultParagraphFont"/>
    <w:unhideWhenUsed/>
    <w:rsid w:val="00160D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s.sm.sdvobcomp@ogs.ny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2340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FILING CUMULATIVE PAYMENT INCOME STATEMENT</vt:lpstr>
    </vt:vector>
  </TitlesOfParts>
  <Company>New York State - Office of General Services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FILING CUMULATIVE PAYMENT INCOME STATEMENT</dc:title>
  <dc:creator>NYS OGS</dc:creator>
  <cp:lastModifiedBy>Franzese, Lara L (OGS)</cp:lastModifiedBy>
  <cp:revision>6</cp:revision>
  <cp:lastPrinted>2021-04-06T16:09:00Z</cp:lastPrinted>
  <dcterms:created xsi:type="dcterms:W3CDTF">2019-10-31T17:36:00Z</dcterms:created>
  <dcterms:modified xsi:type="dcterms:W3CDTF">2021-04-06T16:10:00Z</dcterms:modified>
</cp:coreProperties>
</file>