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44" w:rsidRDefault="00BF3B44" w:rsidP="000E589A">
      <w:pPr>
        <w:rPr>
          <w:rFonts w:ascii="Arial" w:hAnsi="Arial" w:cs="Arial"/>
          <w:b/>
          <w:sz w:val="24"/>
          <w:szCs w:val="24"/>
        </w:rPr>
        <w:sectPr w:rsidR="00BF3B44" w:rsidSect="009C6BFA">
          <w:headerReference w:type="default" r:id="rId7"/>
          <w:footerReference w:type="default" r:id="rId8"/>
          <w:headerReference w:type="first" r:id="rId9"/>
          <w:footerReference w:type="first" r:id="rId10"/>
          <w:pgSz w:w="12240" w:h="15840" w:code="1"/>
          <w:pgMar w:top="720" w:right="720" w:bottom="720" w:left="720" w:header="720" w:footer="403" w:gutter="0"/>
          <w:cols w:space="720"/>
          <w:titlePg/>
          <w:docGrid w:linePitch="360"/>
        </w:sectPr>
      </w:pPr>
      <w:bookmarkStart w:id="0" w:name="_GoBack"/>
      <w:bookmarkEnd w:id="0"/>
    </w:p>
    <w:p w:rsidR="00B84E47" w:rsidRDefault="00B84E47" w:rsidP="00886254">
      <w:pPr>
        <w:spacing w:before="120"/>
        <w:ind w:left="-540"/>
      </w:pPr>
    </w:p>
    <w:tbl>
      <w:tblPr>
        <w:tblW w:w="10800" w:type="dxa"/>
        <w:tblInd w:w="-612" w:type="dxa"/>
        <w:tblLayout w:type="fixed"/>
        <w:tblLook w:val="01E0" w:firstRow="1" w:lastRow="1" w:firstColumn="1" w:lastColumn="1" w:noHBand="0" w:noVBand="0"/>
      </w:tblPr>
      <w:tblGrid>
        <w:gridCol w:w="7200"/>
        <w:gridCol w:w="1620"/>
        <w:gridCol w:w="1980"/>
      </w:tblGrid>
      <w:tr w:rsidR="000E589A" w:rsidRPr="00EE5E5F" w:rsidTr="00EE5E5F">
        <w:trPr>
          <w:trHeight w:val="446"/>
        </w:trPr>
        <w:tc>
          <w:tcPr>
            <w:tcW w:w="7200" w:type="dxa"/>
          </w:tcPr>
          <w:p w:rsidR="000E589A" w:rsidRPr="00EE5E5F" w:rsidRDefault="000E589A" w:rsidP="00EE5E5F">
            <w:pPr>
              <w:spacing w:before="120"/>
              <w:rPr>
                <w:rFonts w:ascii="Arial" w:hAnsi="Arial" w:cs="Arial"/>
                <w:b/>
                <w:caps/>
                <w:sz w:val="24"/>
                <w:szCs w:val="24"/>
              </w:rPr>
            </w:pPr>
            <w:r w:rsidRPr="00EE5E5F">
              <w:rPr>
                <w:rFonts w:ascii="Arial" w:hAnsi="Arial" w:cs="Arial"/>
                <w:b/>
                <w:caps/>
                <w:sz w:val="24"/>
                <w:szCs w:val="24"/>
              </w:rPr>
              <w:t>Emergency Contractor Travel Pre-Approval</w:t>
            </w:r>
          </w:p>
        </w:tc>
        <w:tc>
          <w:tcPr>
            <w:tcW w:w="1620" w:type="dxa"/>
          </w:tcPr>
          <w:p w:rsidR="000E589A" w:rsidRPr="00EE5E5F" w:rsidRDefault="000E589A" w:rsidP="00EE5E5F">
            <w:pPr>
              <w:spacing w:before="180"/>
              <w:jc w:val="right"/>
              <w:rPr>
                <w:rFonts w:ascii="Arial" w:hAnsi="Arial" w:cs="Arial"/>
              </w:rPr>
            </w:pPr>
            <w:r w:rsidRPr="00EE5E5F">
              <w:rPr>
                <w:rFonts w:ascii="Arial" w:hAnsi="Arial" w:cs="Arial"/>
              </w:rPr>
              <w:t>Contract No.</w:t>
            </w:r>
            <w:r w:rsidR="009F23DB" w:rsidRPr="00EE5E5F">
              <w:rPr>
                <w:rFonts w:ascii="Arial" w:hAnsi="Arial" w:cs="Arial"/>
              </w:rPr>
              <w:t>:</w:t>
            </w:r>
          </w:p>
        </w:tc>
        <w:tc>
          <w:tcPr>
            <w:tcW w:w="1980" w:type="dxa"/>
            <w:tcBorders>
              <w:bottom w:val="single" w:sz="2" w:space="0" w:color="auto"/>
            </w:tcBorders>
          </w:tcPr>
          <w:p w:rsidR="00D54D45" w:rsidRPr="00EE5E5F" w:rsidRDefault="000E589A" w:rsidP="00EE5E5F">
            <w:pPr>
              <w:spacing w:before="60"/>
              <w:jc w:val="center"/>
              <w:rPr>
                <w:b/>
                <w:sz w:val="32"/>
                <w:szCs w:val="32"/>
              </w:rPr>
            </w:pPr>
            <w:r w:rsidRPr="00EE5E5F">
              <w:rPr>
                <w:b/>
                <w:sz w:val="32"/>
                <w:szCs w:val="32"/>
              </w:rPr>
              <w:fldChar w:fldCharType="begin">
                <w:ffData>
                  <w:name w:val="Text4"/>
                  <w:enabled/>
                  <w:calcOnExit w:val="0"/>
                  <w:textInput/>
                </w:ffData>
              </w:fldChar>
            </w:r>
            <w:bookmarkStart w:id="1" w:name="Text4"/>
            <w:r w:rsidRPr="00EE5E5F">
              <w:rPr>
                <w:b/>
                <w:sz w:val="32"/>
                <w:szCs w:val="32"/>
              </w:rPr>
              <w:instrText xml:space="preserve"> FORMTEXT </w:instrText>
            </w:r>
            <w:r w:rsidR="004D6965" w:rsidRPr="00EE5E5F">
              <w:rPr>
                <w:b/>
                <w:sz w:val="32"/>
                <w:szCs w:val="32"/>
              </w:rPr>
            </w:r>
            <w:r w:rsidRPr="00EE5E5F">
              <w:rPr>
                <w:b/>
                <w:sz w:val="32"/>
                <w:szCs w:val="32"/>
              </w:rPr>
              <w:fldChar w:fldCharType="separate"/>
            </w:r>
            <w:r w:rsidR="0081274E" w:rsidRPr="00EE5E5F">
              <w:rPr>
                <w:b/>
                <w:sz w:val="32"/>
                <w:szCs w:val="32"/>
              </w:rPr>
              <w:t> </w:t>
            </w:r>
            <w:r w:rsidR="0081274E" w:rsidRPr="00EE5E5F">
              <w:rPr>
                <w:b/>
                <w:sz w:val="32"/>
                <w:szCs w:val="32"/>
              </w:rPr>
              <w:t> </w:t>
            </w:r>
            <w:r w:rsidR="0081274E" w:rsidRPr="00EE5E5F">
              <w:rPr>
                <w:b/>
                <w:sz w:val="32"/>
                <w:szCs w:val="32"/>
              </w:rPr>
              <w:t> </w:t>
            </w:r>
            <w:r w:rsidR="0081274E" w:rsidRPr="00EE5E5F">
              <w:rPr>
                <w:b/>
                <w:sz w:val="32"/>
                <w:szCs w:val="32"/>
              </w:rPr>
              <w:t> </w:t>
            </w:r>
            <w:r w:rsidR="0081274E" w:rsidRPr="00EE5E5F">
              <w:rPr>
                <w:b/>
                <w:sz w:val="32"/>
                <w:szCs w:val="32"/>
              </w:rPr>
              <w:t> </w:t>
            </w:r>
            <w:r w:rsidRPr="00EE5E5F">
              <w:rPr>
                <w:b/>
                <w:sz w:val="32"/>
                <w:szCs w:val="32"/>
              </w:rPr>
              <w:fldChar w:fldCharType="end"/>
            </w:r>
            <w:bookmarkEnd w:id="1"/>
          </w:p>
        </w:tc>
      </w:tr>
      <w:tr w:rsidR="00D54D45" w:rsidRPr="00EE5E5F" w:rsidTr="00EE5E5F">
        <w:trPr>
          <w:trHeight w:val="288"/>
        </w:trPr>
        <w:tc>
          <w:tcPr>
            <w:tcW w:w="10800" w:type="dxa"/>
            <w:gridSpan w:val="3"/>
            <w:vAlign w:val="center"/>
          </w:tcPr>
          <w:p w:rsidR="00D54D45" w:rsidRPr="00EE5E5F" w:rsidRDefault="00D54D45" w:rsidP="00D54D45">
            <w:pPr>
              <w:rPr>
                <w:rFonts w:ascii="Arial" w:hAnsi="Arial" w:cs="Arial"/>
                <w:sz w:val="16"/>
                <w:szCs w:val="16"/>
              </w:rPr>
            </w:pPr>
            <w:r w:rsidRPr="00EE5E5F">
              <w:rPr>
                <w:rStyle w:val="Emphasis"/>
                <w:rFonts w:ascii="Arial" w:hAnsi="Arial" w:cs="Arial"/>
                <w:sz w:val="16"/>
                <w:szCs w:val="16"/>
              </w:rPr>
              <w:t xml:space="preserve">Instructions:  Please review Guidelines for Payment of Overnight Travel Expenses </w:t>
            </w:r>
            <w:r w:rsidR="00BA48D6" w:rsidRPr="00EE5E5F">
              <w:rPr>
                <w:rStyle w:val="Emphasis"/>
                <w:rFonts w:ascii="Arial" w:hAnsi="Arial" w:cs="Arial"/>
                <w:sz w:val="16"/>
                <w:szCs w:val="16"/>
              </w:rPr>
              <w:t xml:space="preserve">(attached) </w:t>
            </w:r>
            <w:r w:rsidRPr="00EE5E5F">
              <w:rPr>
                <w:rStyle w:val="Emphasis"/>
                <w:rFonts w:ascii="Arial" w:hAnsi="Arial" w:cs="Arial"/>
                <w:sz w:val="16"/>
                <w:szCs w:val="16"/>
              </w:rPr>
              <w:t>prior to completing this form.</w:t>
            </w:r>
          </w:p>
        </w:tc>
      </w:tr>
    </w:tbl>
    <w:p w:rsidR="009F23DB" w:rsidRDefault="009F23DB" w:rsidP="00886254">
      <w:pPr>
        <w:spacing w:before="120"/>
        <w:ind w:left="-540"/>
      </w:pPr>
    </w:p>
    <w:tbl>
      <w:tblPr>
        <w:tblW w:w="10800" w:type="dxa"/>
        <w:tblInd w:w="-612" w:type="dxa"/>
        <w:tblLayout w:type="fixed"/>
        <w:tblLook w:val="01E0" w:firstRow="1" w:lastRow="1" w:firstColumn="1" w:lastColumn="1" w:noHBand="0" w:noVBand="0"/>
      </w:tblPr>
      <w:tblGrid>
        <w:gridCol w:w="1440"/>
        <w:gridCol w:w="5220"/>
        <w:gridCol w:w="540"/>
        <w:gridCol w:w="1260"/>
        <w:gridCol w:w="2340"/>
      </w:tblGrid>
      <w:tr w:rsidR="00280FFC" w:rsidRPr="00EE5E5F" w:rsidTr="00EE5E5F">
        <w:trPr>
          <w:trHeight w:val="461"/>
        </w:trPr>
        <w:tc>
          <w:tcPr>
            <w:tcW w:w="1440" w:type="dxa"/>
            <w:vAlign w:val="center"/>
          </w:tcPr>
          <w:p w:rsidR="00280FFC" w:rsidRPr="00EE5E5F" w:rsidRDefault="00280FFC" w:rsidP="00280FFC">
            <w:pPr>
              <w:rPr>
                <w:rFonts w:ascii="Arial" w:hAnsi="Arial" w:cs="Arial"/>
                <w:b/>
              </w:rPr>
            </w:pPr>
            <w:r w:rsidRPr="00EE5E5F">
              <w:rPr>
                <w:rFonts w:ascii="Arial" w:hAnsi="Arial" w:cs="Arial"/>
                <w:b/>
              </w:rPr>
              <w:t>Contractor:</w:t>
            </w:r>
          </w:p>
        </w:tc>
        <w:tc>
          <w:tcPr>
            <w:tcW w:w="5220" w:type="dxa"/>
            <w:vAlign w:val="center"/>
          </w:tcPr>
          <w:p w:rsidR="00280FFC" w:rsidRPr="00EE5E5F" w:rsidRDefault="000949D5" w:rsidP="00EE5E5F">
            <w:pPr>
              <w:pBdr>
                <w:bottom w:val="single" w:sz="4" w:space="1" w:color="auto"/>
              </w:pBdr>
              <w:rPr>
                <w:b/>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000558C2" w:rsidRPr="00EE5E5F">
              <w:rPr>
                <w:b/>
              </w:rPr>
              <w:t> </w:t>
            </w:r>
            <w:r w:rsidR="000558C2" w:rsidRPr="00EE5E5F">
              <w:rPr>
                <w:b/>
              </w:rPr>
              <w:t> </w:t>
            </w:r>
            <w:r w:rsidR="000558C2" w:rsidRPr="00EE5E5F">
              <w:rPr>
                <w:b/>
              </w:rPr>
              <w:t> </w:t>
            </w:r>
            <w:r w:rsidR="000558C2" w:rsidRPr="00EE5E5F">
              <w:rPr>
                <w:b/>
              </w:rPr>
              <w:t> </w:t>
            </w:r>
            <w:r w:rsidR="000558C2" w:rsidRPr="00EE5E5F">
              <w:rPr>
                <w:b/>
              </w:rPr>
              <w:t> </w:t>
            </w:r>
            <w:r w:rsidRPr="00EE5E5F">
              <w:rPr>
                <w:b/>
              </w:rPr>
              <w:fldChar w:fldCharType="end"/>
            </w:r>
          </w:p>
        </w:tc>
        <w:tc>
          <w:tcPr>
            <w:tcW w:w="540" w:type="dxa"/>
            <w:vAlign w:val="center"/>
          </w:tcPr>
          <w:p w:rsidR="00280FFC" w:rsidRPr="00EE5E5F" w:rsidRDefault="00280FFC" w:rsidP="00280FFC">
            <w:pPr>
              <w:rPr>
                <w:rFonts w:ascii="Arial" w:hAnsi="Arial" w:cs="Arial"/>
              </w:rPr>
            </w:pPr>
          </w:p>
        </w:tc>
        <w:tc>
          <w:tcPr>
            <w:tcW w:w="1260" w:type="dxa"/>
            <w:tcMar>
              <w:left w:w="115" w:type="dxa"/>
              <w:right w:w="216" w:type="dxa"/>
            </w:tcMar>
            <w:vAlign w:val="center"/>
          </w:tcPr>
          <w:p w:rsidR="00280FFC" w:rsidRPr="00EE5E5F" w:rsidRDefault="00280FFC" w:rsidP="00EE5E5F">
            <w:pPr>
              <w:jc w:val="right"/>
              <w:rPr>
                <w:rFonts w:ascii="Arial" w:hAnsi="Arial" w:cs="Arial"/>
                <w:b/>
              </w:rPr>
            </w:pPr>
            <w:r w:rsidRPr="00EE5E5F">
              <w:rPr>
                <w:rFonts w:ascii="Arial" w:hAnsi="Arial" w:cs="Arial"/>
                <w:b/>
              </w:rPr>
              <w:t>Date:</w:t>
            </w:r>
          </w:p>
        </w:tc>
        <w:tc>
          <w:tcPr>
            <w:tcW w:w="2340" w:type="dxa"/>
            <w:vAlign w:val="center"/>
          </w:tcPr>
          <w:p w:rsidR="00280FFC" w:rsidRPr="000949D5" w:rsidRDefault="000949D5" w:rsidP="00EE5E5F">
            <w:pPr>
              <w:pBdr>
                <w:bottom w:val="single" w:sz="4" w:space="1" w:color="auto"/>
              </w:pBdr>
              <w:jc w:val="center"/>
            </w:pPr>
            <w:r w:rsidRPr="00EE5E5F">
              <w:rPr>
                <w:b/>
              </w:rPr>
              <w:fldChar w:fldCharType="begin">
                <w:ffData>
                  <w:name w:val="Text3"/>
                  <w:enabled/>
                  <w:calcOnExit w:val="0"/>
                  <w:textInput/>
                </w:ffData>
              </w:fldChar>
            </w:r>
            <w:bookmarkStart w:id="2" w:name="Text3"/>
            <w:r w:rsidRPr="00EE5E5F">
              <w:rPr>
                <w:b/>
              </w:rPr>
              <w:instrText xml:space="preserve"> FORMTEXT </w:instrText>
            </w:r>
            <w:r w:rsidR="008A2CE7"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bookmarkEnd w:id="2"/>
          </w:p>
        </w:tc>
      </w:tr>
    </w:tbl>
    <w:p w:rsidR="00280FFC" w:rsidRDefault="00280FFC" w:rsidP="00280FFC">
      <w:pPr>
        <w:ind w:left="-540"/>
        <w:rPr>
          <w:rFonts w:ascii="Arial" w:hAnsi="Arial" w:cs="Arial"/>
          <w:sz w:val="16"/>
          <w:szCs w:val="16"/>
        </w:rPr>
      </w:pPr>
    </w:p>
    <w:tbl>
      <w:tblPr>
        <w:tblW w:w="10800" w:type="dxa"/>
        <w:tblInd w:w="-612" w:type="dxa"/>
        <w:tblLook w:val="01E0" w:firstRow="1" w:lastRow="1" w:firstColumn="1" w:lastColumn="1" w:noHBand="0" w:noVBand="0"/>
      </w:tblPr>
      <w:tblGrid>
        <w:gridCol w:w="2828"/>
        <w:gridCol w:w="7972"/>
      </w:tblGrid>
      <w:tr w:rsidR="008D4357" w:rsidRPr="00EE5E5F" w:rsidTr="00EE5E5F">
        <w:trPr>
          <w:trHeight w:val="461"/>
        </w:trPr>
        <w:tc>
          <w:tcPr>
            <w:tcW w:w="2828" w:type="dxa"/>
            <w:vAlign w:val="center"/>
          </w:tcPr>
          <w:p w:rsidR="008D4357" w:rsidRPr="00EE5E5F" w:rsidRDefault="008D4357" w:rsidP="008D4357">
            <w:pPr>
              <w:rPr>
                <w:rFonts w:ascii="Arial" w:hAnsi="Arial" w:cs="Arial"/>
                <w:b/>
              </w:rPr>
            </w:pPr>
            <w:r w:rsidRPr="00EE5E5F">
              <w:rPr>
                <w:rFonts w:ascii="Arial" w:hAnsi="Arial" w:cs="Arial"/>
                <w:b/>
              </w:rPr>
              <w:t>Job Location (street, city):</w:t>
            </w:r>
          </w:p>
        </w:tc>
        <w:tc>
          <w:tcPr>
            <w:tcW w:w="7972" w:type="dxa"/>
            <w:vAlign w:val="center"/>
          </w:tcPr>
          <w:p w:rsidR="008D4357" w:rsidRPr="00EE5E5F" w:rsidRDefault="000949D5" w:rsidP="00EE5E5F">
            <w:pPr>
              <w:pBdr>
                <w:bottom w:val="single" w:sz="4" w:space="1" w:color="auto"/>
              </w:pBdr>
              <w:rPr>
                <w:rFonts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bl>
    <w:p w:rsidR="008D4357" w:rsidRDefault="008D4357" w:rsidP="00280FFC">
      <w:pPr>
        <w:ind w:left="-540"/>
        <w:rPr>
          <w:rFonts w:ascii="Arial" w:hAnsi="Arial" w:cs="Arial"/>
          <w:sz w:val="16"/>
          <w:szCs w:val="16"/>
        </w:rPr>
      </w:pPr>
    </w:p>
    <w:tbl>
      <w:tblPr>
        <w:tblW w:w="10800" w:type="dxa"/>
        <w:tblInd w:w="-612" w:type="dxa"/>
        <w:tblLook w:val="01E0" w:firstRow="1" w:lastRow="1" w:firstColumn="1" w:lastColumn="1" w:noHBand="0" w:noVBand="0"/>
      </w:tblPr>
      <w:tblGrid>
        <w:gridCol w:w="4262"/>
        <w:gridCol w:w="6538"/>
      </w:tblGrid>
      <w:tr w:rsidR="008D4357" w:rsidRPr="00EE5E5F" w:rsidTr="00EE5E5F">
        <w:trPr>
          <w:trHeight w:val="461"/>
        </w:trPr>
        <w:tc>
          <w:tcPr>
            <w:tcW w:w="4262" w:type="dxa"/>
            <w:vAlign w:val="center"/>
          </w:tcPr>
          <w:p w:rsidR="008D4357" w:rsidRPr="00EE5E5F" w:rsidRDefault="008D4357" w:rsidP="008D4357">
            <w:pPr>
              <w:rPr>
                <w:rFonts w:ascii="Arial" w:hAnsi="Arial" w:cs="Arial"/>
                <w:b/>
              </w:rPr>
            </w:pPr>
            <w:r w:rsidRPr="00EE5E5F">
              <w:rPr>
                <w:rFonts w:ascii="Arial" w:hAnsi="Arial" w:cs="Arial"/>
                <w:b/>
              </w:rPr>
              <w:t>Estimated Distance to Job (miles, hours):</w:t>
            </w:r>
          </w:p>
        </w:tc>
        <w:tc>
          <w:tcPr>
            <w:tcW w:w="6538" w:type="dxa"/>
            <w:vAlign w:val="center"/>
          </w:tcPr>
          <w:p w:rsidR="008D4357"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bl>
    <w:p w:rsidR="008D4357" w:rsidRPr="00280FFC" w:rsidRDefault="008D4357" w:rsidP="00886254">
      <w:pPr>
        <w:spacing w:before="240"/>
        <w:ind w:left="-547"/>
        <w:rPr>
          <w:rFonts w:ascii="Arial" w:hAnsi="Arial" w:cs="Arial"/>
          <w:sz w:val="16"/>
          <w:szCs w:val="16"/>
        </w:rPr>
      </w:pPr>
    </w:p>
    <w:tbl>
      <w:tblPr>
        <w:tblW w:w="10800" w:type="dxa"/>
        <w:tblInd w:w="-612" w:type="dxa"/>
        <w:tblLook w:val="01E0" w:firstRow="1" w:lastRow="1" w:firstColumn="1" w:lastColumn="1" w:noHBand="0" w:noVBand="0"/>
      </w:tblPr>
      <w:tblGrid>
        <w:gridCol w:w="4680"/>
        <w:gridCol w:w="1260"/>
        <w:gridCol w:w="4860"/>
      </w:tblGrid>
      <w:tr w:rsidR="006548B2" w:rsidRPr="00EE5E5F" w:rsidTr="00EE5E5F">
        <w:trPr>
          <w:trHeight w:val="574"/>
        </w:trPr>
        <w:tc>
          <w:tcPr>
            <w:tcW w:w="4680" w:type="dxa"/>
            <w:vAlign w:val="center"/>
          </w:tcPr>
          <w:p w:rsidR="006548B2" w:rsidRPr="00EE5E5F" w:rsidRDefault="006548B2" w:rsidP="00EE5E5F">
            <w:pPr>
              <w:jc w:val="center"/>
              <w:rPr>
                <w:rFonts w:ascii="Arial" w:hAnsi="Arial" w:cs="Arial"/>
                <w:b/>
              </w:rPr>
            </w:pPr>
            <w:r w:rsidRPr="00EE5E5F">
              <w:rPr>
                <w:rFonts w:ascii="Arial" w:hAnsi="Arial" w:cs="Arial"/>
                <w:b/>
              </w:rPr>
              <w:t>Reimbursement for travel expenses recommended by EIC:</w:t>
            </w:r>
          </w:p>
        </w:tc>
        <w:tc>
          <w:tcPr>
            <w:tcW w:w="1260" w:type="dxa"/>
          </w:tcPr>
          <w:p w:rsidR="006548B2" w:rsidRPr="00EE5E5F" w:rsidRDefault="006548B2" w:rsidP="008E21F9">
            <w:pPr>
              <w:rPr>
                <w:rFonts w:ascii="Arial" w:hAnsi="Arial" w:cs="Arial"/>
                <w:sz w:val="28"/>
                <w:szCs w:val="28"/>
              </w:rPr>
            </w:pPr>
          </w:p>
        </w:tc>
        <w:tc>
          <w:tcPr>
            <w:tcW w:w="4860" w:type="dxa"/>
            <w:vAlign w:val="center"/>
          </w:tcPr>
          <w:p w:rsidR="006548B2" w:rsidRPr="00EE5E5F" w:rsidRDefault="006548B2" w:rsidP="00EE5E5F">
            <w:pPr>
              <w:jc w:val="center"/>
              <w:rPr>
                <w:rFonts w:ascii="Arial" w:hAnsi="Arial" w:cs="Arial"/>
                <w:b/>
                <w:u w:val="single"/>
              </w:rPr>
            </w:pPr>
            <w:r w:rsidRPr="00EE5E5F">
              <w:rPr>
                <w:rFonts w:ascii="Arial" w:hAnsi="Arial" w:cs="Arial"/>
                <w:b/>
                <w:u w:val="single"/>
              </w:rPr>
              <w:t>Method of Reimbursement</w:t>
            </w:r>
          </w:p>
        </w:tc>
      </w:tr>
      <w:tr w:rsidR="006548B2" w:rsidRPr="00EE5E5F" w:rsidTr="00EE5E5F">
        <w:trPr>
          <w:trHeight w:val="375"/>
        </w:trPr>
        <w:tc>
          <w:tcPr>
            <w:tcW w:w="4680" w:type="dxa"/>
            <w:vMerge w:val="restart"/>
          </w:tcPr>
          <w:p w:rsidR="006548B2" w:rsidRPr="00EE5E5F" w:rsidRDefault="00A17E69" w:rsidP="00EE5E5F">
            <w:pPr>
              <w:spacing w:before="360"/>
              <w:jc w:val="center"/>
              <w:rPr>
                <w:rFonts w:ascii="Arial" w:hAnsi="Arial" w:cs="Arial"/>
              </w:rPr>
            </w:pPr>
            <w:r w:rsidRPr="00EE5E5F">
              <w:rPr>
                <w:rFonts w:ascii="Arial" w:hAnsi="Arial" w:cs="Arial"/>
              </w:rPr>
              <w:fldChar w:fldCharType="begin">
                <w:ffData>
                  <w:name w:val="Check1"/>
                  <w:enabled/>
                  <w:calcOnExit w:val="0"/>
                  <w:checkBox>
                    <w:sizeAuto/>
                    <w:default w:val="0"/>
                  </w:checkBox>
                </w:ffData>
              </w:fldChar>
            </w:r>
            <w:bookmarkStart w:id="3" w:name="Check1"/>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3"/>
            <w:r w:rsidRPr="00EE5E5F">
              <w:rPr>
                <w:rFonts w:ascii="Arial" w:hAnsi="Arial" w:cs="Arial"/>
              </w:rPr>
              <w:t xml:space="preserve"> </w:t>
            </w:r>
            <w:r w:rsidR="00741EF8" w:rsidRPr="00EE5E5F">
              <w:rPr>
                <w:rFonts w:ascii="Arial" w:hAnsi="Arial" w:cs="Arial"/>
              </w:rPr>
              <w:t xml:space="preserve">  </w:t>
            </w:r>
            <w:r w:rsidRPr="00EE5E5F">
              <w:rPr>
                <w:rFonts w:ascii="Arial" w:hAnsi="Arial" w:cs="Arial"/>
              </w:rPr>
              <w:t xml:space="preserve">Yes               </w:t>
            </w:r>
            <w:r w:rsidRPr="00EE5E5F">
              <w:rPr>
                <w:rFonts w:ascii="Arial" w:hAnsi="Arial" w:cs="Arial"/>
              </w:rPr>
              <w:fldChar w:fldCharType="begin">
                <w:ffData>
                  <w:name w:val="Check2"/>
                  <w:enabled/>
                  <w:calcOnExit w:val="0"/>
                  <w:checkBox>
                    <w:sizeAuto/>
                    <w:default w:val="0"/>
                  </w:checkBox>
                </w:ffData>
              </w:fldChar>
            </w:r>
            <w:bookmarkStart w:id="4" w:name="Check2"/>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4"/>
            <w:r w:rsidR="006B1A0A" w:rsidRPr="00EE5E5F">
              <w:rPr>
                <w:rFonts w:ascii="Arial" w:hAnsi="Arial" w:cs="Arial"/>
              </w:rPr>
              <w:t xml:space="preserve"> </w:t>
            </w:r>
            <w:r w:rsidR="00741EF8" w:rsidRPr="00EE5E5F">
              <w:rPr>
                <w:rFonts w:ascii="Arial" w:hAnsi="Arial" w:cs="Arial"/>
              </w:rPr>
              <w:t xml:space="preserve">  </w:t>
            </w:r>
            <w:r w:rsidRPr="00EE5E5F">
              <w:rPr>
                <w:rFonts w:ascii="Arial" w:hAnsi="Arial" w:cs="Arial"/>
              </w:rPr>
              <w:t>No</w:t>
            </w:r>
          </w:p>
        </w:tc>
        <w:tc>
          <w:tcPr>
            <w:tcW w:w="1260" w:type="dxa"/>
            <w:vMerge w:val="restart"/>
          </w:tcPr>
          <w:p w:rsidR="006548B2" w:rsidRPr="00EE5E5F" w:rsidRDefault="006548B2" w:rsidP="008E21F9">
            <w:pPr>
              <w:rPr>
                <w:rFonts w:ascii="Arial" w:hAnsi="Arial" w:cs="Arial"/>
              </w:rPr>
            </w:pPr>
          </w:p>
        </w:tc>
        <w:tc>
          <w:tcPr>
            <w:tcW w:w="4860" w:type="dxa"/>
            <w:vAlign w:val="center"/>
          </w:tcPr>
          <w:p w:rsidR="006548B2" w:rsidRPr="00EE5E5F" w:rsidRDefault="00A17E69" w:rsidP="00A17E69">
            <w:pPr>
              <w:rPr>
                <w:rFonts w:ascii="Arial" w:hAnsi="Arial" w:cs="Arial"/>
              </w:rPr>
            </w:pPr>
            <w:r w:rsidRPr="00EE5E5F">
              <w:rPr>
                <w:rFonts w:ascii="Arial" w:hAnsi="Arial" w:cs="Arial"/>
              </w:rPr>
              <w:fldChar w:fldCharType="begin">
                <w:ffData>
                  <w:name w:val="Check3"/>
                  <w:enabled/>
                  <w:calcOnExit w:val="0"/>
                  <w:checkBox>
                    <w:sizeAuto/>
                    <w:default w:val="0"/>
                  </w:checkBox>
                </w:ffData>
              </w:fldChar>
            </w:r>
            <w:bookmarkStart w:id="5" w:name="Check3"/>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5"/>
            <w:r w:rsidRPr="00EE5E5F">
              <w:rPr>
                <w:rFonts w:ascii="Arial" w:hAnsi="Arial" w:cs="Arial"/>
              </w:rPr>
              <w:t xml:space="preserve">   Per attached Bargaining Agreement</w:t>
            </w:r>
          </w:p>
        </w:tc>
      </w:tr>
      <w:tr w:rsidR="006548B2" w:rsidRPr="00EE5E5F" w:rsidTr="00EE5E5F">
        <w:trPr>
          <w:trHeight w:val="375"/>
        </w:trPr>
        <w:tc>
          <w:tcPr>
            <w:tcW w:w="4680" w:type="dxa"/>
            <w:vMerge/>
          </w:tcPr>
          <w:p w:rsidR="006548B2" w:rsidRPr="00EE5E5F" w:rsidRDefault="006548B2" w:rsidP="008E21F9">
            <w:pPr>
              <w:rPr>
                <w:rFonts w:ascii="Arial" w:hAnsi="Arial" w:cs="Arial"/>
              </w:rPr>
            </w:pPr>
          </w:p>
        </w:tc>
        <w:tc>
          <w:tcPr>
            <w:tcW w:w="1260" w:type="dxa"/>
            <w:vMerge/>
          </w:tcPr>
          <w:p w:rsidR="006548B2" w:rsidRPr="00EE5E5F" w:rsidRDefault="006548B2" w:rsidP="008E21F9">
            <w:pPr>
              <w:rPr>
                <w:rFonts w:ascii="Arial" w:hAnsi="Arial" w:cs="Arial"/>
              </w:rPr>
            </w:pPr>
          </w:p>
        </w:tc>
        <w:tc>
          <w:tcPr>
            <w:tcW w:w="4860" w:type="dxa"/>
            <w:vAlign w:val="center"/>
          </w:tcPr>
          <w:p w:rsidR="006548B2" w:rsidRPr="00EE5E5F" w:rsidRDefault="00A17E69" w:rsidP="00A17E69">
            <w:pPr>
              <w:rPr>
                <w:rFonts w:ascii="Arial" w:hAnsi="Arial" w:cs="Arial"/>
              </w:rPr>
            </w:pPr>
            <w:r w:rsidRPr="00EE5E5F">
              <w:rPr>
                <w:rFonts w:ascii="Arial" w:hAnsi="Arial" w:cs="Arial"/>
              </w:rPr>
              <w:fldChar w:fldCharType="begin">
                <w:ffData>
                  <w:name w:val="Check4"/>
                  <w:enabled/>
                  <w:calcOnExit w:val="0"/>
                  <w:checkBox>
                    <w:sizeAuto/>
                    <w:default w:val="0"/>
                  </w:checkBox>
                </w:ffData>
              </w:fldChar>
            </w:r>
            <w:bookmarkStart w:id="6" w:name="Check4"/>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6"/>
            <w:r w:rsidRPr="00EE5E5F">
              <w:rPr>
                <w:rFonts w:ascii="Arial" w:hAnsi="Arial" w:cs="Arial"/>
              </w:rPr>
              <w:t xml:space="preserve">   Per attached pre-existing Company Policy</w:t>
            </w:r>
          </w:p>
        </w:tc>
      </w:tr>
      <w:tr w:rsidR="006548B2" w:rsidRPr="00EE5E5F" w:rsidTr="00EE5E5F">
        <w:trPr>
          <w:trHeight w:val="375"/>
        </w:trPr>
        <w:tc>
          <w:tcPr>
            <w:tcW w:w="4680" w:type="dxa"/>
            <w:vMerge/>
          </w:tcPr>
          <w:p w:rsidR="006548B2" w:rsidRPr="00EE5E5F" w:rsidRDefault="006548B2" w:rsidP="008E21F9">
            <w:pPr>
              <w:rPr>
                <w:rFonts w:ascii="Arial" w:hAnsi="Arial" w:cs="Arial"/>
              </w:rPr>
            </w:pPr>
          </w:p>
        </w:tc>
        <w:tc>
          <w:tcPr>
            <w:tcW w:w="1260" w:type="dxa"/>
            <w:vMerge/>
          </w:tcPr>
          <w:p w:rsidR="006548B2" w:rsidRPr="00EE5E5F" w:rsidRDefault="006548B2" w:rsidP="008E21F9">
            <w:pPr>
              <w:rPr>
                <w:rFonts w:ascii="Arial" w:hAnsi="Arial" w:cs="Arial"/>
              </w:rPr>
            </w:pPr>
          </w:p>
        </w:tc>
        <w:tc>
          <w:tcPr>
            <w:tcW w:w="4860" w:type="dxa"/>
            <w:vAlign w:val="center"/>
          </w:tcPr>
          <w:p w:rsidR="006548B2" w:rsidRPr="00EE5E5F" w:rsidRDefault="00A17E69" w:rsidP="00A17E69">
            <w:pPr>
              <w:rPr>
                <w:rFonts w:ascii="Arial" w:hAnsi="Arial" w:cs="Arial"/>
              </w:rPr>
            </w:pPr>
            <w:r w:rsidRPr="00EE5E5F">
              <w:rPr>
                <w:rFonts w:ascii="Arial" w:hAnsi="Arial" w:cs="Arial"/>
              </w:rPr>
              <w:fldChar w:fldCharType="begin">
                <w:ffData>
                  <w:name w:val="Check5"/>
                  <w:enabled/>
                  <w:calcOnExit w:val="0"/>
                  <w:checkBox>
                    <w:sizeAuto/>
                    <w:default w:val="0"/>
                  </w:checkBox>
                </w:ffData>
              </w:fldChar>
            </w:r>
            <w:bookmarkStart w:id="7" w:name="Check5"/>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7"/>
            <w:r w:rsidRPr="00EE5E5F">
              <w:rPr>
                <w:rFonts w:ascii="Arial" w:hAnsi="Arial" w:cs="Arial"/>
              </w:rPr>
              <w:t xml:space="preserve">   Per NYS Method I</w:t>
            </w:r>
          </w:p>
        </w:tc>
      </w:tr>
      <w:tr w:rsidR="006548B2" w:rsidRPr="00EE5E5F" w:rsidTr="00EE5E5F">
        <w:trPr>
          <w:trHeight w:val="375"/>
        </w:trPr>
        <w:tc>
          <w:tcPr>
            <w:tcW w:w="4680" w:type="dxa"/>
            <w:vMerge/>
          </w:tcPr>
          <w:p w:rsidR="006548B2" w:rsidRPr="00EE5E5F" w:rsidRDefault="006548B2" w:rsidP="008E21F9">
            <w:pPr>
              <w:rPr>
                <w:rFonts w:ascii="Arial" w:hAnsi="Arial" w:cs="Arial"/>
              </w:rPr>
            </w:pPr>
          </w:p>
        </w:tc>
        <w:tc>
          <w:tcPr>
            <w:tcW w:w="1260" w:type="dxa"/>
            <w:vMerge/>
          </w:tcPr>
          <w:p w:rsidR="006548B2" w:rsidRPr="00EE5E5F" w:rsidRDefault="006548B2" w:rsidP="008E21F9">
            <w:pPr>
              <w:rPr>
                <w:rFonts w:ascii="Arial" w:hAnsi="Arial" w:cs="Arial"/>
              </w:rPr>
            </w:pPr>
          </w:p>
        </w:tc>
        <w:tc>
          <w:tcPr>
            <w:tcW w:w="4860" w:type="dxa"/>
            <w:vAlign w:val="center"/>
          </w:tcPr>
          <w:p w:rsidR="006548B2" w:rsidRPr="00EE5E5F" w:rsidRDefault="00A17E69" w:rsidP="00A17E69">
            <w:pPr>
              <w:rPr>
                <w:rFonts w:ascii="Arial" w:hAnsi="Arial" w:cs="Arial"/>
              </w:rPr>
            </w:pPr>
            <w:r w:rsidRPr="00EE5E5F">
              <w:rPr>
                <w:rFonts w:ascii="Arial" w:hAnsi="Arial" w:cs="Arial"/>
              </w:rPr>
              <w:fldChar w:fldCharType="begin">
                <w:ffData>
                  <w:name w:val="Check6"/>
                  <w:enabled/>
                  <w:calcOnExit w:val="0"/>
                  <w:checkBox>
                    <w:sizeAuto/>
                    <w:default w:val="0"/>
                  </w:checkBox>
                </w:ffData>
              </w:fldChar>
            </w:r>
            <w:bookmarkStart w:id="8" w:name="Check6"/>
            <w:r w:rsidRPr="00EE5E5F">
              <w:rPr>
                <w:rFonts w:ascii="Arial" w:hAnsi="Arial" w:cs="Arial"/>
              </w:rPr>
              <w:instrText xml:space="preserve"> FORMCHECKBOX </w:instrText>
            </w:r>
            <w:r w:rsidR="00BC7D10" w:rsidRPr="00EE5E5F">
              <w:rPr>
                <w:rFonts w:ascii="Arial" w:hAnsi="Arial" w:cs="Arial"/>
              </w:rPr>
            </w:r>
            <w:r w:rsidRPr="00EE5E5F">
              <w:rPr>
                <w:rFonts w:ascii="Arial" w:hAnsi="Arial" w:cs="Arial"/>
              </w:rPr>
              <w:fldChar w:fldCharType="end"/>
            </w:r>
            <w:bookmarkEnd w:id="8"/>
            <w:r w:rsidRPr="00EE5E5F">
              <w:rPr>
                <w:rFonts w:ascii="Arial" w:hAnsi="Arial" w:cs="Arial"/>
              </w:rPr>
              <w:t xml:space="preserve">   Per NYS Method II</w:t>
            </w:r>
          </w:p>
        </w:tc>
      </w:tr>
    </w:tbl>
    <w:p w:rsidR="00886254" w:rsidRDefault="00886254"/>
    <w:tbl>
      <w:tblPr>
        <w:tblW w:w="10800" w:type="dxa"/>
        <w:tblInd w:w="-612" w:type="dxa"/>
        <w:tblLook w:val="01E0" w:firstRow="1" w:lastRow="1" w:firstColumn="1" w:lastColumn="1" w:noHBand="0" w:noVBand="0"/>
      </w:tblPr>
      <w:tblGrid>
        <w:gridCol w:w="1564"/>
        <w:gridCol w:w="56"/>
        <w:gridCol w:w="4500"/>
        <w:gridCol w:w="1080"/>
        <w:gridCol w:w="1080"/>
        <w:gridCol w:w="2520"/>
      </w:tblGrid>
      <w:tr w:rsidR="00A17E69" w:rsidRPr="00EE5E5F" w:rsidTr="00EE5E5F">
        <w:trPr>
          <w:gridAfter w:val="3"/>
          <w:wAfter w:w="4680" w:type="dxa"/>
          <w:trHeight w:val="461"/>
        </w:trPr>
        <w:tc>
          <w:tcPr>
            <w:tcW w:w="1620" w:type="dxa"/>
            <w:gridSpan w:val="2"/>
            <w:vAlign w:val="center"/>
          </w:tcPr>
          <w:p w:rsidR="00A17E69" w:rsidRPr="00EE5E5F" w:rsidRDefault="00A17E69" w:rsidP="00A17E69">
            <w:pPr>
              <w:rPr>
                <w:rFonts w:ascii="Arial" w:hAnsi="Arial" w:cs="Arial"/>
                <w:b/>
              </w:rPr>
            </w:pPr>
            <w:r w:rsidRPr="00EE5E5F">
              <w:rPr>
                <w:rFonts w:ascii="Arial" w:hAnsi="Arial" w:cs="Arial"/>
                <w:b/>
              </w:rPr>
              <w:t>EIC Signature:</w:t>
            </w:r>
          </w:p>
        </w:tc>
        <w:tc>
          <w:tcPr>
            <w:tcW w:w="4500" w:type="dxa"/>
            <w:vAlign w:val="center"/>
          </w:tcPr>
          <w:p w:rsidR="00A17E69" w:rsidRPr="00EE5E5F" w:rsidRDefault="00A17E69" w:rsidP="00EE5E5F">
            <w:pPr>
              <w:pBdr>
                <w:bottom w:val="single" w:sz="4" w:space="1" w:color="auto"/>
              </w:pBdr>
              <w:rPr>
                <w:rFonts w:ascii="Arial" w:hAnsi="Arial" w:cs="Arial"/>
              </w:rPr>
            </w:pPr>
          </w:p>
        </w:tc>
      </w:tr>
      <w:tr w:rsidR="00A17E69" w:rsidRPr="00EE5E5F" w:rsidTr="00EE5E5F">
        <w:trPr>
          <w:trHeight w:val="461"/>
        </w:trPr>
        <w:tc>
          <w:tcPr>
            <w:tcW w:w="1564" w:type="dxa"/>
            <w:vAlign w:val="center"/>
          </w:tcPr>
          <w:p w:rsidR="00A17E69" w:rsidRPr="00EE5E5F" w:rsidRDefault="00A17E69" w:rsidP="00A17E69">
            <w:pPr>
              <w:rPr>
                <w:rFonts w:ascii="Arial" w:hAnsi="Arial" w:cs="Arial"/>
              </w:rPr>
            </w:pPr>
            <w:r w:rsidRPr="00EE5E5F">
              <w:rPr>
                <w:rFonts w:ascii="Arial" w:hAnsi="Arial" w:cs="Arial"/>
              </w:rPr>
              <w:t>Print Name:</w:t>
            </w:r>
          </w:p>
        </w:tc>
        <w:tc>
          <w:tcPr>
            <w:tcW w:w="4556" w:type="dxa"/>
            <w:gridSpan w:val="2"/>
            <w:vAlign w:val="center"/>
          </w:tcPr>
          <w:p w:rsidR="00A17E69" w:rsidRPr="00EE5E5F" w:rsidRDefault="000949D5" w:rsidP="00EE5E5F">
            <w:pPr>
              <w:pBdr>
                <w:bottom w:val="single" w:sz="4" w:space="1" w:color="auto"/>
              </w:pBdr>
              <w:rPr>
                <w:rFonts w:ascii="Arial" w:hAnsi="Arial" w:cs="Arial"/>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c>
          <w:tcPr>
            <w:tcW w:w="1080" w:type="dxa"/>
            <w:vAlign w:val="center"/>
          </w:tcPr>
          <w:p w:rsidR="00A17E69" w:rsidRPr="00EE5E5F" w:rsidRDefault="00A17E69" w:rsidP="00A17E69">
            <w:pPr>
              <w:rPr>
                <w:rFonts w:ascii="Arial" w:hAnsi="Arial" w:cs="Arial"/>
              </w:rPr>
            </w:pPr>
          </w:p>
        </w:tc>
        <w:tc>
          <w:tcPr>
            <w:tcW w:w="1080" w:type="dxa"/>
            <w:vAlign w:val="center"/>
          </w:tcPr>
          <w:p w:rsidR="00A17E69" w:rsidRPr="00EE5E5F" w:rsidRDefault="00956CC0" w:rsidP="00EE5E5F">
            <w:pPr>
              <w:jc w:val="right"/>
              <w:rPr>
                <w:rFonts w:ascii="Arial" w:hAnsi="Arial" w:cs="Arial"/>
              </w:rPr>
            </w:pPr>
            <w:r w:rsidRPr="00EE5E5F">
              <w:rPr>
                <w:rFonts w:ascii="Arial" w:hAnsi="Arial" w:cs="Arial"/>
              </w:rPr>
              <w:t>Date:</w:t>
            </w:r>
          </w:p>
        </w:tc>
        <w:tc>
          <w:tcPr>
            <w:tcW w:w="2520" w:type="dxa"/>
            <w:vAlign w:val="center"/>
          </w:tcPr>
          <w:p w:rsidR="00A17E69" w:rsidRPr="00EE5E5F" w:rsidRDefault="000949D5" w:rsidP="00EE5E5F">
            <w:pPr>
              <w:pBdr>
                <w:bottom w:val="single" w:sz="4" w:space="1" w:color="auto"/>
              </w:pBdr>
              <w:jc w:val="center"/>
              <w:rPr>
                <w:rFonts w:ascii="Arial" w:hAnsi="Arial" w:cs="Arial"/>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bl>
    <w:p w:rsidR="00886254" w:rsidRDefault="00886254"/>
    <w:tbl>
      <w:tblPr>
        <w:tblW w:w="10800" w:type="dxa"/>
        <w:tblInd w:w="-612" w:type="dxa"/>
        <w:tblLook w:val="01E0" w:firstRow="1" w:lastRow="1" w:firstColumn="1" w:lastColumn="1" w:noHBand="0" w:noVBand="0"/>
      </w:tblPr>
      <w:tblGrid>
        <w:gridCol w:w="1564"/>
        <w:gridCol w:w="776"/>
        <w:gridCol w:w="3780"/>
        <w:gridCol w:w="1080"/>
        <w:gridCol w:w="1080"/>
        <w:gridCol w:w="2520"/>
      </w:tblGrid>
      <w:tr w:rsidR="00A17E69" w:rsidRPr="00EE5E5F" w:rsidTr="00EE5E5F">
        <w:trPr>
          <w:gridAfter w:val="3"/>
          <w:wAfter w:w="4680" w:type="dxa"/>
          <w:trHeight w:val="461"/>
        </w:trPr>
        <w:tc>
          <w:tcPr>
            <w:tcW w:w="2340" w:type="dxa"/>
            <w:gridSpan w:val="2"/>
            <w:vAlign w:val="center"/>
          </w:tcPr>
          <w:p w:rsidR="00A17E69" w:rsidRPr="00EE5E5F" w:rsidRDefault="00956CC0" w:rsidP="00A17E69">
            <w:pPr>
              <w:rPr>
                <w:rFonts w:ascii="Arial" w:hAnsi="Arial" w:cs="Arial"/>
                <w:b/>
              </w:rPr>
            </w:pPr>
            <w:r w:rsidRPr="00EE5E5F">
              <w:rPr>
                <w:rFonts w:ascii="Arial" w:hAnsi="Arial" w:cs="Arial"/>
                <w:b/>
              </w:rPr>
              <w:t>Contractor Signature:</w:t>
            </w:r>
          </w:p>
        </w:tc>
        <w:tc>
          <w:tcPr>
            <w:tcW w:w="3780" w:type="dxa"/>
            <w:vAlign w:val="center"/>
          </w:tcPr>
          <w:p w:rsidR="00A17E69" w:rsidRPr="00EE5E5F" w:rsidRDefault="00A17E69" w:rsidP="00EE5E5F">
            <w:pPr>
              <w:pBdr>
                <w:bottom w:val="single" w:sz="4" w:space="1" w:color="auto"/>
              </w:pBdr>
              <w:rPr>
                <w:rFonts w:ascii="Arial" w:hAnsi="Arial" w:cs="Arial"/>
              </w:rPr>
            </w:pPr>
          </w:p>
        </w:tc>
      </w:tr>
      <w:tr w:rsidR="00A17E69" w:rsidRPr="00EE5E5F" w:rsidTr="00EE5E5F">
        <w:trPr>
          <w:trHeight w:val="461"/>
        </w:trPr>
        <w:tc>
          <w:tcPr>
            <w:tcW w:w="1564" w:type="dxa"/>
            <w:vAlign w:val="center"/>
          </w:tcPr>
          <w:p w:rsidR="00A17E69" w:rsidRPr="00EE5E5F" w:rsidRDefault="00956CC0" w:rsidP="00A17E69">
            <w:pPr>
              <w:rPr>
                <w:rFonts w:ascii="Arial" w:hAnsi="Arial" w:cs="Arial"/>
              </w:rPr>
            </w:pPr>
            <w:r w:rsidRPr="00EE5E5F">
              <w:rPr>
                <w:rFonts w:ascii="Arial" w:hAnsi="Arial" w:cs="Arial"/>
              </w:rPr>
              <w:t>Print Name:</w:t>
            </w:r>
          </w:p>
        </w:tc>
        <w:tc>
          <w:tcPr>
            <w:tcW w:w="4556" w:type="dxa"/>
            <w:gridSpan w:val="2"/>
            <w:vAlign w:val="center"/>
          </w:tcPr>
          <w:p w:rsidR="00A17E69" w:rsidRPr="00EE5E5F" w:rsidRDefault="000949D5" w:rsidP="00EE5E5F">
            <w:pPr>
              <w:pBdr>
                <w:bottom w:val="single" w:sz="4" w:space="1" w:color="auto"/>
              </w:pBdr>
              <w:rPr>
                <w:rFonts w:ascii="Arial" w:hAnsi="Arial" w:cs="Arial"/>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c>
          <w:tcPr>
            <w:tcW w:w="1080" w:type="dxa"/>
            <w:vAlign w:val="center"/>
          </w:tcPr>
          <w:p w:rsidR="00A17E69" w:rsidRPr="00EE5E5F" w:rsidRDefault="00A17E69" w:rsidP="00A17E69">
            <w:pPr>
              <w:rPr>
                <w:rFonts w:ascii="Arial" w:hAnsi="Arial" w:cs="Arial"/>
              </w:rPr>
            </w:pPr>
          </w:p>
        </w:tc>
        <w:tc>
          <w:tcPr>
            <w:tcW w:w="1080" w:type="dxa"/>
            <w:vAlign w:val="center"/>
          </w:tcPr>
          <w:p w:rsidR="00A17E69" w:rsidRPr="00EE5E5F" w:rsidRDefault="00956CC0" w:rsidP="00EE5E5F">
            <w:pPr>
              <w:jc w:val="right"/>
              <w:rPr>
                <w:rFonts w:ascii="Arial" w:hAnsi="Arial" w:cs="Arial"/>
              </w:rPr>
            </w:pPr>
            <w:r w:rsidRPr="00EE5E5F">
              <w:rPr>
                <w:rFonts w:ascii="Arial" w:hAnsi="Arial" w:cs="Arial"/>
              </w:rPr>
              <w:t>Date:</w:t>
            </w:r>
          </w:p>
        </w:tc>
        <w:tc>
          <w:tcPr>
            <w:tcW w:w="2520" w:type="dxa"/>
            <w:vAlign w:val="center"/>
          </w:tcPr>
          <w:p w:rsidR="00A17E69" w:rsidRPr="00EE5E5F" w:rsidRDefault="000949D5" w:rsidP="00EE5E5F">
            <w:pPr>
              <w:pBdr>
                <w:bottom w:val="single" w:sz="4" w:space="1" w:color="auto"/>
              </w:pBdr>
              <w:jc w:val="center"/>
              <w:rPr>
                <w:rFonts w:ascii="Arial" w:hAnsi="Arial" w:cs="Arial"/>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bl>
    <w:p w:rsidR="00886254" w:rsidRDefault="00886254"/>
    <w:tbl>
      <w:tblPr>
        <w:tblW w:w="10800" w:type="dxa"/>
        <w:tblInd w:w="-612" w:type="dxa"/>
        <w:tblLook w:val="01E0" w:firstRow="1" w:lastRow="1" w:firstColumn="1" w:lastColumn="1" w:noHBand="0" w:noVBand="0"/>
      </w:tblPr>
      <w:tblGrid>
        <w:gridCol w:w="1428"/>
        <w:gridCol w:w="9372"/>
      </w:tblGrid>
      <w:tr w:rsidR="006F0470" w:rsidRPr="00EE5E5F" w:rsidTr="00EE5E5F">
        <w:trPr>
          <w:trHeight w:val="432"/>
        </w:trPr>
        <w:tc>
          <w:tcPr>
            <w:tcW w:w="1428" w:type="dxa"/>
            <w:vAlign w:val="center"/>
          </w:tcPr>
          <w:p w:rsidR="006F0470" w:rsidRPr="00EE5E5F" w:rsidRDefault="006F0470" w:rsidP="006F0470">
            <w:pPr>
              <w:rPr>
                <w:rFonts w:ascii="Arial" w:hAnsi="Arial" w:cs="Arial"/>
                <w:b/>
              </w:rPr>
            </w:pPr>
            <w:r w:rsidRPr="00EE5E5F">
              <w:rPr>
                <w:rFonts w:ascii="Arial" w:hAnsi="Arial" w:cs="Arial"/>
                <w:b/>
              </w:rPr>
              <w:t>Comments:</w:t>
            </w:r>
          </w:p>
        </w:tc>
        <w:tc>
          <w:tcPr>
            <w:tcW w:w="9372" w:type="dxa"/>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r w:rsidR="006F0470" w:rsidRPr="00EE5E5F" w:rsidTr="00EE5E5F">
        <w:trPr>
          <w:trHeight w:val="360"/>
        </w:trPr>
        <w:tc>
          <w:tcPr>
            <w:tcW w:w="10620" w:type="dxa"/>
            <w:gridSpan w:val="2"/>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r w:rsidR="006F0470" w:rsidRPr="00EE5E5F" w:rsidTr="00EE5E5F">
        <w:trPr>
          <w:trHeight w:val="360"/>
        </w:trPr>
        <w:tc>
          <w:tcPr>
            <w:tcW w:w="10620" w:type="dxa"/>
            <w:gridSpan w:val="2"/>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r w:rsidR="006F0470" w:rsidRPr="00EE5E5F" w:rsidTr="00EE5E5F">
        <w:trPr>
          <w:trHeight w:val="360"/>
        </w:trPr>
        <w:tc>
          <w:tcPr>
            <w:tcW w:w="10620" w:type="dxa"/>
            <w:gridSpan w:val="2"/>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r w:rsidR="006F0470" w:rsidRPr="00EE5E5F" w:rsidTr="00EE5E5F">
        <w:trPr>
          <w:trHeight w:val="360"/>
        </w:trPr>
        <w:tc>
          <w:tcPr>
            <w:tcW w:w="10620" w:type="dxa"/>
            <w:gridSpan w:val="2"/>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r w:rsidR="006F0470" w:rsidRPr="00EE5E5F" w:rsidTr="00EE5E5F">
        <w:trPr>
          <w:trHeight w:val="360"/>
        </w:trPr>
        <w:tc>
          <w:tcPr>
            <w:tcW w:w="10620" w:type="dxa"/>
            <w:gridSpan w:val="2"/>
            <w:vAlign w:val="center"/>
          </w:tcPr>
          <w:p w:rsidR="006F0470" w:rsidRPr="00EE5E5F" w:rsidRDefault="000949D5" w:rsidP="00EE5E5F">
            <w:pPr>
              <w:pBdr>
                <w:bottom w:val="single" w:sz="4" w:space="1" w:color="auto"/>
              </w:pBdr>
              <w:rPr>
                <w:rFonts w:ascii="Arial" w:hAnsi="Arial" w:cs="Arial"/>
                <w:sz w:val="16"/>
                <w:szCs w:val="16"/>
              </w:rPr>
            </w:pPr>
            <w:r w:rsidRPr="00EE5E5F">
              <w:rPr>
                <w:b/>
              </w:rPr>
              <w:fldChar w:fldCharType="begin">
                <w:ffData>
                  <w:name w:val="Text3"/>
                  <w:enabled/>
                  <w:calcOnExit w:val="0"/>
                  <w:textInput/>
                </w:ffData>
              </w:fldChar>
            </w:r>
            <w:r w:rsidRPr="00EE5E5F">
              <w:rPr>
                <w:b/>
              </w:rPr>
              <w:instrText xml:space="preserve"> FORMTEXT </w:instrText>
            </w:r>
            <w:r w:rsidRPr="00EE5E5F">
              <w:rPr>
                <w:b/>
              </w:rPr>
            </w:r>
            <w:r w:rsidRPr="00EE5E5F">
              <w:rPr>
                <w:b/>
              </w:rPr>
              <w:fldChar w:fldCharType="separate"/>
            </w:r>
            <w:r w:rsidRPr="00EE5E5F">
              <w:rPr>
                <w:b/>
                <w:noProof/>
              </w:rPr>
              <w:t> </w:t>
            </w:r>
            <w:r w:rsidRPr="00EE5E5F">
              <w:rPr>
                <w:b/>
                <w:noProof/>
              </w:rPr>
              <w:t> </w:t>
            </w:r>
            <w:r w:rsidRPr="00EE5E5F">
              <w:rPr>
                <w:b/>
                <w:noProof/>
              </w:rPr>
              <w:t> </w:t>
            </w:r>
            <w:r w:rsidRPr="00EE5E5F">
              <w:rPr>
                <w:b/>
                <w:noProof/>
              </w:rPr>
              <w:t> </w:t>
            </w:r>
            <w:r w:rsidRPr="00EE5E5F">
              <w:rPr>
                <w:b/>
                <w:noProof/>
              </w:rPr>
              <w:t> </w:t>
            </w:r>
            <w:r w:rsidRPr="00EE5E5F">
              <w:rPr>
                <w:b/>
              </w:rPr>
              <w:fldChar w:fldCharType="end"/>
            </w:r>
          </w:p>
        </w:tc>
      </w:tr>
    </w:tbl>
    <w:p w:rsidR="0004425A" w:rsidRDefault="0004425A" w:rsidP="002D1371">
      <w:pPr>
        <w:spacing w:before="120"/>
        <w:rPr>
          <w:rFonts w:ascii="Arial" w:hAnsi="Arial" w:cs="Arial"/>
          <w:b/>
          <w:sz w:val="28"/>
          <w:szCs w:val="28"/>
        </w:rPr>
        <w:sectPr w:rsidR="0004425A" w:rsidSect="00BD5BBA">
          <w:type w:val="continuous"/>
          <w:pgSz w:w="12240" w:h="15840" w:code="1"/>
          <w:pgMar w:top="720" w:right="1498" w:bottom="720" w:left="1498" w:header="720" w:footer="403" w:gutter="0"/>
          <w:cols w:space="720"/>
          <w:titlePg/>
          <w:docGrid w:linePitch="360"/>
        </w:sectPr>
      </w:pPr>
    </w:p>
    <w:p w:rsidR="00B065D9" w:rsidRPr="00B065D9" w:rsidRDefault="00BF3B44" w:rsidP="00B065D9">
      <w:pPr>
        <w:rPr>
          <w:rFonts w:ascii="Arial" w:hAnsi="Arial" w:cs="Arial"/>
          <w:sz w:val="8"/>
          <w:szCs w:val="28"/>
        </w:rPr>
        <w:sectPr w:rsidR="00B065D9" w:rsidRPr="00B065D9" w:rsidSect="00B065D9">
          <w:type w:val="continuous"/>
          <w:pgSz w:w="12240" w:h="15840" w:code="1"/>
          <w:pgMar w:top="720" w:right="720" w:bottom="720" w:left="720" w:header="720" w:footer="403" w:gutter="0"/>
          <w:cols w:space="720"/>
          <w:titlePg/>
          <w:docGrid w:linePitch="360"/>
        </w:sectPr>
      </w:pPr>
      <w:r>
        <w:rPr>
          <w:rFonts w:ascii="Arial" w:hAnsi="Arial" w:cs="Arial"/>
          <w:b/>
          <w:sz w:val="28"/>
          <w:szCs w:val="28"/>
        </w:rPr>
        <w:br w:type="page"/>
      </w:r>
    </w:p>
    <w:p w:rsidR="000C02BB" w:rsidRPr="004E4404" w:rsidRDefault="00DC21E4" w:rsidP="0004425A">
      <w:pPr>
        <w:spacing w:before="120"/>
        <w:rPr>
          <w:rFonts w:ascii="Arial" w:hAnsi="Arial" w:cs="Arial"/>
          <w:sz w:val="17"/>
          <w:szCs w:val="16"/>
        </w:rPr>
      </w:pPr>
      <w:r w:rsidRPr="004E4404">
        <w:rPr>
          <w:rFonts w:ascii="Arial" w:hAnsi="Arial" w:cs="Arial"/>
          <w:sz w:val="17"/>
          <w:szCs w:val="16"/>
        </w:rPr>
        <w:t xml:space="preserve">In order for reimbursement of overnight travel expenses </w:t>
      </w:r>
      <w:r w:rsidR="00F67E7A" w:rsidRPr="004E4404">
        <w:rPr>
          <w:rFonts w:ascii="Arial" w:hAnsi="Arial" w:cs="Arial"/>
          <w:sz w:val="17"/>
          <w:szCs w:val="16"/>
        </w:rPr>
        <w:t xml:space="preserve">(meals and lodging) </w:t>
      </w:r>
      <w:r w:rsidRPr="004E4404">
        <w:rPr>
          <w:rFonts w:ascii="Arial" w:hAnsi="Arial" w:cs="Arial"/>
          <w:sz w:val="17"/>
          <w:szCs w:val="16"/>
        </w:rPr>
        <w:t xml:space="preserve">to be considered, overnight lodging must be recommended by the Director’s Representative (EIC) </w:t>
      </w:r>
      <w:r w:rsidR="00301EE4" w:rsidRPr="004E4404">
        <w:rPr>
          <w:rFonts w:ascii="Arial" w:hAnsi="Arial" w:cs="Arial"/>
          <w:sz w:val="17"/>
          <w:szCs w:val="16"/>
        </w:rPr>
        <w:t>pursuant to</w:t>
      </w:r>
      <w:r w:rsidRPr="004E4404">
        <w:rPr>
          <w:rFonts w:ascii="Arial" w:hAnsi="Arial" w:cs="Arial"/>
          <w:sz w:val="17"/>
          <w:szCs w:val="16"/>
        </w:rPr>
        <w:t xml:space="preserve"> the best interest of </w:t>
      </w:r>
      <w:smartTag w:uri="urn:schemas-microsoft-com:office:smarttags" w:element="place">
        <w:smartTag w:uri="urn:schemas-microsoft-com:office:smarttags" w:element="PlaceName">
          <w:r w:rsidRPr="004E4404">
            <w:rPr>
              <w:rFonts w:ascii="Arial" w:hAnsi="Arial" w:cs="Arial"/>
              <w:sz w:val="17"/>
              <w:szCs w:val="16"/>
            </w:rPr>
            <w:t>New York</w:t>
          </w:r>
        </w:smartTag>
        <w:r w:rsidRPr="004E4404">
          <w:rPr>
            <w:rFonts w:ascii="Arial" w:hAnsi="Arial" w:cs="Arial"/>
            <w:sz w:val="17"/>
            <w:szCs w:val="16"/>
          </w:rPr>
          <w:t xml:space="preserve"> </w:t>
        </w:r>
        <w:smartTag w:uri="urn:schemas-microsoft-com:office:smarttags" w:element="PlaceType">
          <w:r w:rsidRPr="004E4404">
            <w:rPr>
              <w:rFonts w:ascii="Arial" w:hAnsi="Arial" w:cs="Arial"/>
              <w:sz w:val="17"/>
              <w:szCs w:val="16"/>
            </w:rPr>
            <w:t>State</w:t>
          </w:r>
        </w:smartTag>
      </w:smartTag>
      <w:r w:rsidRPr="004E4404">
        <w:rPr>
          <w:rFonts w:ascii="Arial" w:hAnsi="Arial" w:cs="Arial"/>
          <w:sz w:val="17"/>
          <w:szCs w:val="16"/>
        </w:rPr>
        <w:t xml:space="preserve">.  The Contractor and EIC must complete </w:t>
      </w:r>
      <w:r w:rsidR="00301EE4" w:rsidRPr="004E4404">
        <w:rPr>
          <w:rFonts w:ascii="Arial" w:hAnsi="Arial" w:cs="Arial"/>
          <w:sz w:val="17"/>
          <w:szCs w:val="16"/>
        </w:rPr>
        <w:t xml:space="preserve">and shall otherwise approve </w:t>
      </w:r>
      <w:r w:rsidRPr="004E4404">
        <w:rPr>
          <w:rFonts w:ascii="Arial" w:hAnsi="Arial" w:cs="Arial"/>
          <w:sz w:val="17"/>
          <w:szCs w:val="16"/>
        </w:rPr>
        <w:t xml:space="preserve">an OGS </w:t>
      </w:r>
      <w:r w:rsidR="008B7F9E" w:rsidRPr="004E4404">
        <w:rPr>
          <w:rFonts w:ascii="Arial" w:hAnsi="Arial" w:cs="Arial"/>
          <w:sz w:val="17"/>
          <w:szCs w:val="16"/>
        </w:rPr>
        <w:t xml:space="preserve">Payment of Overnight </w:t>
      </w:r>
      <w:r w:rsidRPr="004E4404">
        <w:rPr>
          <w:rFonts w:ascii="Arial" w:hAnsi="Arial" w:cs="Arial"/>
          <w:sz w:val="17"/>
          <w:szCs w:val="16"/>
        </w:rPr>
        <w:t xml:space="preserve">Travel </w:t>
      </w:r>
      <w:r w:rsidR="008B7F9E" w:rsidRPr="004E4404">
        <w:rPr>
          <w:rFonts w:ascii="Arial" w:hAnsi="Arial" w:cs="Arial"/>
          <w:sz w:val="17"/>
          <w:szCs w:val="16"/>
        </w:rPr>
        <w:t>Expenses</w:t>
      </w:r>
      <w:r w:rsidRPr="004E4404">
        <w:rPr>
          <w:rFonts w:ascii="Arial" w:hAnsi="Arial" w:cs="Arial"/>
          <w:sz w:val="17"/>
          <w:szCs w:val="16"/>
        </w:rPr>
        <w:t xml:space="preserve"> form </w:t>
      </w:r>
      <w:r w:rsidRPr="004E4404">
        <w:rPr>
          <w:rFonts w:ascii="Arial" w:hAnsi="Arial" w:cs="Arial"/>
          <w:sz w:val="17"/>
          <w:szCs w:val="16"/>
          <w:u w:val="single"/>
        </w:rPr>
        <w:t>prior to any travel expenses being incurred</w:t>
      </w:r>
      <w:r w:rsidRPr="004E4404">
        <w:rPr>
          <w:rFonts w:ascii="Arial" w:hAnsi="Arial" w:cs="Arial"/>
          <w:sz w:val="17"/>
          <w:szCs w:val="16"/>
        </w:rPr>
        <w:t xml:space="preserve">.  This form is </w:t>
      </w:r>
      <w:r w:rsidR="00301EE4" w:rsidRPr="004E4404">
        <w:rPr>
          <w:rFonts w:ascii="Arial" w:hAnsi="Arial" w:cs="Arial"/>
          <w:sz w:val="17"/>
          <w:szCs w:val="16"/>
        </w:rPr>
        <w:t xml:space="preserve">considered </w:t>
      </w:r>
      <w:r w:rsidRPr="004E4404">
        <w:rPr>
          <w:rFonts w:ascii="Arial" w:hAnsi="Arial" w:cs="Arial"/>
          <w:sz w:val="17"/>
          <w:szCs w:val="16"/>
        </w:rPr>
        <w:t xml:space="preserve">a pre-approval form for incurring </w:t>
      </w:r>
      <w:r w:rsidR="00F67E7A" w:rsidRPr="004E4404">
        <w:rPr>
          <w:rFonts w:ascii="Arial" w:hAnsi="Arial" w:cs="Arial"/>
          <w:sz w:val="17"/>
          <w:szCs w:val="16"/>
        </w:rPr>
        <w:t xml:space="preserve">meal and lodging </w:t>
      </w:r>
      <w:r w:rsidRPr="004E4404">
        <w:rPr>
          <w:rFonts w:ascii="Arial" w:hAnsi="Arial" w:cs="Arial"/>
          <w:sz w:val="17"/>
          <w:szCs w:val="16"/>
        </w:rPr>
        <w:t xml:space="preserve">expenses, and will need to be </w:t>
      </w:r>
      <w:r w:rsidR="00923612" w:rsidRPr="004E4404">
        <w:rPr>
          <w:rFonts w:ascii="Arial" w:hAnsi="Arial" w:cs="Arial"/>
          <w:sz w:val="17"/>
          <w:szCs w:val="16"/>
        </w:rPr>
        <w:t xml:space="preserve">included </w:t>
      </w:r>
      <w:r w:rsidRPr="004E4404">
        <w:rPr>
          <w:rFonts w:ascii="Arial" w:hAnsi="Arial" w:cs="Arial"/>
          <w:sz w:val="17"/>
          <w:szCs w:val="16"/>
        </w:rPr>
        <w:t xml:space="preserve">with the first payment application in which travel expenses are billed. </w:t>
      </w:r>
      <w:r w:rsidR="00301EE4" w:rsidRPr="004E4404">
        <w:rPr>
          <w:rFonts w:ascii="Arial" w:hAnsi="Arial" w:cs="Arial"/>
          <w:sz w:val="17"/>
          <w:szCs w:val="16"/>
        </w:rPr>
        <w:t xml:space="preserve">This form is subject to the approval of the Contracting Officer or his designated representative.  </w:t>
      </w:r>
      <w:r w:rsidR="00DA6300" w:rsidRPr="004E4404">
        <w:rPr>
          <w:rFonts w:ascii="Arial" w:hAnsi="Arial" w:cs="Arial"/>
          <w:sz w:val="17"/>
          <w:szCs w:val="16"/>
        </w:rPr>
        <w:t>Travel expenses, if approved, will be considered a reimbursable expense, and are not subject to overhead and profit.</w:t>
      </w:r>
    </w:p>
    <w:p w:rsidR="00DC21E4" w:rsidRPr="004E4404" w:rsidRDefault="00D94A88" w:rsidP="004E4404">
      <w:pPr>
        <w:spacing w:before="80"/>
        <w:rPr>
          <w:rFonts w:ascii="Arial" w:hAnsi="Arial" w:cs="Arial"/>
          <w:sz w:val="17"/>
          <w:szCs w:val="16"/>
        </w:rPr>
      </w:pPr>
      <w:r w:rsidRPr="004E4404">
        <w:rPr>
          <w:rFonts w:ascii="Arial" w:hAnsi="Arial" w:cs="Arial"/>
          <w:sz w:val="17"/>
          <w:szCs w:val="16"/>
        </w:rPr>
        <w:t>Overnight t</w:t>
      </w:r>
      <w:r w:rsidR="00923612" w:rsidRPr="004E4404">
        <w:rPr>
          <w:rFonts w:ascii="Arial" w:hAnsi="Arial" w:cs="Arial"/>
          <w:sz w:val="17"/>
          <w:szCs w:val="16"/>
        </w:rPr>
        <w:t xml:space="preserve">ravel expenses will be reimbursed in accordance with </w:t>
      </w:r>
      <w:r w:rsidR="005536D1" w:rsidRPr="004E4404">
        <w:rPr>
          <w:rFonts w:ascii="Arial" w:hAnsi="Arial" w:cs="Arial"/>
          <w:sz w:val="17"/>
          <w:szCs w:val="16"/>
        </w:rPr>
        <w:t xml:space="preserve">the travel allowances announced by the </w:t>
      </w:r>
      <w:r w:rsidR="00923612" w:rsidRPr="004E4404">
        <w:rPr>
          <w:rFonts w:ascii="Arial" w:hAnsi="Arial" w:cs="Arial"/>
          <w:sz w:val="17"/>
          <w:szCs w:val="16"/>
        </w:rPr>
        <w:t xml:space="preserve">New York State Office of the Comptroller and </w:t>
      </w:r>
      <w:r w:rsidR="00DF4EF7" w:rsidRPr="004E4404">
        <w:rPr>
          <w:rFonts w:ascii="Arial" w:hAnsi="Arial" w:cs="Arial"/>
          <w:sz w:val="17"/>
          <w:szCs w:val="16"/>
        </w:rPr>
        <w:t xml:space="preserve">also </w:t>
      </w:r>
      <w:r w:rsidR="00923612" w:rsidRPr="004E4404">
        <w:rPr>
          <w:rFonts w:ascii="Arial" w:hAnsi="Arial" w:cs="Arial"/>
          <w:sz w:val="17"/>
          <w:szCs w:val="16"/>
        </w:rPr>
        <w:t xml:space="preserve">with the additional information </w:t>
      </w:r>
      <w:r w:rsidR="005536D1" w:rsidRPr="004E4404">
        <w:rPr>
          <w:rFonts w:ascii="Arial" w:hAnsi="Arial" w:cs="Arial"/>
          <w:sz w:val="17"/>
          <w:szCs w:val="16"/>
        </w:rPr>
        <w:t xml:space="preserve">and guidelines </w:t>
      </w:r>
      <w:r w:rsidR="00923612" w:rsidRPr="004E4404">
        <w:rPr>
          <w:rFonts w:ascii="Arial" w:hAnsi="Arial" w:cs="Arial"/>
          <w:sz w:val="17"/>
          <w:szCs w:val="16"/>
        </w:rPr>
        <w:t xml:space="preserve">provided </w:t>
      </w:r>
      <w:r w:rsidR="00DF4EF7" w:rsidRPr="004E4404">
        <w:rPr>
          <w:rFonts w:ascii="Arial" w:hAnsi="Arial" w:cs="Arial"/>
          <w:sz w:val="17"/>
          <w:szCs w:val="16"/>
        </w:rPr>
        <w:t xml:space="preserve">in the OGS Guidelines for Payment of Overnight Travel Expenses.  </w:t>
      </w:r>
      <w:r w:rsidR="00DC21E4" w:rsidRPr="004E4404">
        <w:rPr>
          <w:rFonts w:ascii="Arial" w:hAnsi="Arial" w:cs="Arial"/>
          <w:sz w:val="17"/>
          <w:szCs w:val="16"/>
        </w:rPr>
        <w:t>The method of reimbursement is to be one of the following:</w:t>
      </w:r>
    </w:p>
    <w:p w:rsidR="00DC21E4" w:rsidRPr="004E4404" w:rsidRDefault="00DC21E4" w:rsidP="002D1371">
      <w:pPr>
        <w:spacing w:before="80"/>
        <w:ind w:left="180"/>
        <w:rPr>
          <w:rFonts w:ascii="Arial" w:hAnsi="Arial" w:cs="Arial"/>
          <w:sz w:val="17"/>
          <w:szCs w:val="16"/>
        </w:rPr>
      </w:pPr>
      <w:r w:rsidRPr="004E4404">
        <w:rPr>
          <w:rFonts w:ascii="Arial" w:hAnsi="Arial" w:cs="Arial"/>
          <w:sz w:val="17"/>
          <w:szCs w:val="16"/>
          <w:u w:val="single"/>
        </w:rPr>
        <w:t>Union Contractors:</w:t>
      </w:r>
      <w:r w:rsidRPr="004E4404">
        <w:rPr>
          <w:rFonts w:ascii="Arial" w:hAnsi="Arial" w:cs="Arial"/>
          <w:sz w:val="17"/>
          <w:szCs w:val="16"/>
        </w:rPr>
        <w:t xml:space="preserve">  If the contractor is required to follow travel regulations due </w:t>
      </w:r>
      <w:r w:rsidR="00637C3B" w:rsidRPr="004E4404">
        <w:rPr>
          <w:rFonts w:ascii="Arial" w:hAnsi="Arial" w:cs="Arial"/>
          <w:sz w:val="17"/>
          <w:szCs w:val="16"/>
        </w:rPr>
        <w:t xml:space="preserve">to </w:t>
      </w:r>
      <w:r w:rsidRPr="004E4404">
        <w:rPr>
          <w:rFonts w:ascii="Arial" w:hAnsi="Arial" w:cs="Arial"/>
          <w:sz w:val="17"/>
          <w:szCs w:val="16"/>
        </w:rPr>
        <w:t xml:space="preserve">a bargaining agreement, check the box </w:t>
      </w:r>
      <w:r w:rsidR="00F67E7A" w:rsidRPr="004E4404">
        <w:rPr>
          <w:rFonts w:ascii="Arial" w:hAnsi="Arial" w:cs="Arial"/>
          <w:sz w:val="17"/>
          <w:szCs w:val="16"/>
        </w:rPr>
        <w:t xml:space="preserve">on the Travel Request Proposal </w:t>
      </w:r>
      <w:r w:rsidRPr="004E4404">
        <w:rPr>
          <w:rFonts w:ascii="Arial" w:hAnsi="Arial" w:cs="Arial"/>
          <w:sz w:val="17"/>
          <w:szCs w:val="16"/>
        </w:rPr>
        <w:t xml:space="preserve">for “Bargaining Agreement”, and attach the </w:t>
      </w:r>
      <w:r w:rsidR="00301EE4" w:rsidRPr="004E4404">
        <w:rPr>
          <w:rFonts w:ascii="Arial" w:hAnsi="Arial" w:cs="Arial"/>
          <w:sz w:val="17"/>
          <w:szCs w:val="16"/>
        </w:rPr>
        <w:t>b</w:t>
      </w:r>
      <w:r w:rsidRPr="004E4404">
        <w:rPr>
          <w:rFonts w:ascii="Arial" w:hAnsi="Arial" w:cs="Arial"/>
          <w:sz w:val="17"/>
          <w:szCs w:val="16"/>
        </w:rPr>
        <w:t xml:space="preserve">argaining </w:t>
      </w:r>
      <w:r w:rsidR="00301EE4" w:rsidRPr="004E4404">
        <w:rPr>
          <w:rFonts w:ascii="Arial" w:hAnsi="Arial" w:cs="Arial"/>
          <w:sz w:val="17"/>
          <w:szCs w:val="16"/>
        </w:rPr>
        <w:t>a</w:t>
      </w:r>
      <w:r w:rsidRPr="004E4404">
        <w:rPr>
          <w:rFonts w:ascii="Arial" w:hAnsi="Arial" w:cs="Arial"/>
          <w:sz w:val="17"/>
          <w:szCs w:val="16"/>
        </w:rPr>
        <w:t>greement (</w:t>
      </w:r>
      <w:r w:rsidR="00301EE4" w:rsidRPr="004E4404">
        <w:rPr>
          <w:rFonts w:ascii="Arial" w:hAnsi="Arial" w:cs="Arial"/>
          <w:sz w:val="17"/>
          <w:szCs w:val="16"/>
        </w:rPr>
        <w:t>u</w:t>
      </w:r>
      <w:r w:rsidRPr="004E4404">
        <w:rPr>
          <w:rFonts w:ascii="Arial" w:hAnsi="Arial" w:cs="Arial"/>
          <w:sz w:val="17"/>
          <w:szCs w:val="16"/>
        </w:rPr>
        <w:t xml:space="preserve">nion </w:t>
      </w:r>
      <w:r w:rsidR="00301EE4" w:rsidRPr="004E4404">
        <w:rPr>
          <w:rFonts w:ascii="Arial" w:hAnsi="Arial" w:cs="Arial"/>
          <w:sz w:val="17"/>
          <w:szCs w:val="16"/>
        </w:rPr>
        <w:t>a</w:t>
      </w:r>
      <w:r w:rsidRPr="004E4404">
        <w:rPr>
          <w:rFonts w:ascii="Arial" w:hAnsi="Arial" w:cs="Arial"/>
          <w:sz w:val="17"/>
          <w:szCs w:val="16"/>
        </w:rPr>
        <w:t>greement).  If any travel expenses for a union employee are submitted for payment, the appropriate bargaining agreement must be attached.  If the bargaining agreement does not specify the rate of reimbursement for overnight travel, the maximum allowable rate</w:t>
      </w:r>
      <w:r w:rsidR="00F44DE5" w:rsidRPr="004E4404">
        <w:rPr>
          <w:rFonts w:ascii="Arial" w:hAnsi="Arial" w:cs="Arial"/>
          <w:sz w:val="17"/>
          <w:szCs w:val="16"/>
        </w:rPr>
        <w:t>s</w:t>
      </w:r>
      <w:r w:rsidRPr="004E4404">
        <w:rPr>
          <w:rFonts w:ascii="Arial" w:hAnsi="Arial" w:cs="Arial"/>
          <w:sz w:val="17"/>
          <w:szCs w:val="16"/>
        </w:rPr>
        <w:t xml:space="preserve"> will be in accordance with NYS Method I or II </w:t>
      </w:r>
      <w:r w:rsidRPr="00A651D8">
        <w:rPr>
          <w:rFonts w:ascii="Arial" w:hAnsi="Arial" w:cs="Arial"/>
          <w:i/>
          <w:sz w:val="17"/>
          <w:szCs w:val="16"/>
        </w:rPr>
        <w:t>(see below)</w:t>
      </w:r>
      <w:r w:rsidRPr="004E4404">
        <w:rPr>
          <w:rFonts w:ascii="Arial" w:hAnsi="Arial" w:cs="Arial"/>
          <w:sz w:val="17"/>
          <w:szCs w:val="16"/>
        </w:rPr>
        <w:t>.</w:t>
      </w:r>
    </w:p>
    <w:p w:rsidR="00DC21E4" w:rsidRPr="004E4404" w:rsidRDefault="00DC21E4" w:rsidP="002D1371">
      <w:pPr>
        <w:spacing w:before="80"/>
        <w:ind w:left="180"/>
        <w:rPr>
          <w:rFonts w:ascii="Arial" w:hAnsi="Arial" w:cs="Arial"/>
          <w:sz w:val="17"/>
          <w:szCs w:val="16"/>
        </w:rPr>
      </w:pPr>
      <w:r w:rsidRPr="004E4404">
        <w:rPr>
          <w:rFonts w:ascii="Arial" w:hAnsi="Arial" w:cs="Arial"/>
          <w:sz w:val="17"/>
          <w:szCs w:val="16"/>
          <w:u w:val="single"/>
        </w:rPr>
        <w:t>Contractors with a pre-existing, written company policy</w:t>
      </w:r>
      <w:r w:rsidRPr="004E4404">
        <w:rPr>
          <w:rFonts w:ascii="Arial" w:hAnsi="Arial" w:cs="Arial"/>
          <w:sz w:val="17"/>
          <w:szCs w:val="16"/>
        </w:rPr>
        <w:t>:  If</w:t>
      </w:r>
      <w:r w:rsidR="004F6924">
        <w:rPr>
          <w:rFonts w:ascii="Arial" w:hAnsi="Arial" w:cs="Arial"/>
          <w:sz w:val="17"/>
          <w:szCs w:val="16"/>
        </w:rPr>
        <w:t xml:space="preserve"> </w:t>
      </w:r>
      <w:r w:rsidRPr="004E4404">
        <w:rPr>
          <w:rFonts w:ascii="Arial" w:hAnsi="Arial" w:cs="Arial"/>
          <w:sz w:val="17"/>
          <w:szCs w:val="16"/>
        </w:rPr>
        <w:t xml:space="preserve">the </w:t>
      </w:r>
      <w:r w:rsidR="00A651D8">
        <w:rPr>
          <w:rFonts w:ascii="Arial" w:hAnsi="Arial" w:cs="Arial"/>
          <w:sz w:val="17"/>
          <w:szCs w:val="16"/>
        </w:rPr>
        <w:t>C</w:t>
      </w:r>
      <w:r w:rsidRPr="004E4404">
        <w:rPr>
          <w:rFonts w:ascii="Arial" w:hAnsi="Arial" w:cs="Arial"/>
          <w:sz w:val="17"/>
          <w:szCs w:val="16"/>
        </w:rPr>
        <w:t>ontractor has a specific pre-existing written company policy that is universal to all types of projects (state, non-state, fixed price, time and material) and addresses specific reimbursement rates for lodging and meals or per diem, check the appropriate box and attach the pre-existing, written company policy</w:t>
      </w:r>
      <w:r w:rsidR="00F44DE5" w:rsidRPr="004E4404">
        <w:rPr>
          <w:rFonts w:ascii="Arial" w:hAnsi="Arial" w:cs="Arial"/>
          <w:sz w:val="17"/>
          <w:szCs w:val="16"/>
        </w:rPr>
        <w:t xml:space="preserve"> to the Travel Request Proposal</w:t>
      </w:r>
      <w:r w:rsidR="00A651D8">
        <w:rPr>
          <w:rFonts w:ascii="Arial" w:hAnsi="Arial" w:cs="Arial"/>
          <w:sz w:val="17"/>
          <w:szCs w:val="16"/>
        </w:rPr>
        <w:t xml:space="preserve">.  </w:t>
      </w:r>
      <w:r w:rsidRPr="004E4404">
        <w:rPr>
          <w:rFonts w:ascii="Arial" w:hAnsi="Arial" w:cs="Arial"/>
          <w:sz w:val="17"/>
          <w:szCs w:val="16"/>
        </w:rPr>
        <w:t>Letters or memos are not acceptable.  Rates higher than the federal rates may not be approved.</w:t>
      </w:r>
    </w:p>
    <w:p w:rsidR="004F6924" w:rsidRPr="004F6924" w:rsidRDefault="004F6924" w:rsidP="004F6924">
      <w:pPr>
        <w:ind w:left="187"/>
        <w:rPr>
          <w:rFonts w:ascii="Arial" w:hAnsi="Arial" w:cs="Arial"/>
          <w:sz w:val="8"/>
          <w:szCs w:val="16"/>
          <w:u w:val="single"/>
        </w:rPr>
        <w:sectPr w:rsidR="004F6924" w:rsidRPr="004F6924" w:rsidSect="00BD5BBA">
          <w:type w:val="continuous"/>
          <w:pgSz w:w="12240" w:h="15840" w:code="1"/>
          <w:pgMar w:top="720" w:right="1498" w:bottom="720" w:left="1498" w:header="720" w:footer="403" w:gutter="0"/>
          <w:cols w:space="720"/>
          <w:titlePg/>
          <w:docGrid w:linePitch="360"/>
        </w:sectPr>
      </w:pPr>
    </w:p>
    <w:p w:rsidR="00DC21E4" w:rsidRPr="004E4404" w:rsidRDefault="00DC21E4" w:rsidP="002D1371">
      <w:pPr>
        <w:spacing w:before="80"/>
        <w:ind w:left="180"/>
        <w:rPr>
          <w:rFonts w:ascii="Arial" w:hAnsi="Arial" w:cs="Arial"/>
          <w:sz w:val="17"/>
          <w:szCs w:val="16"/>
          <w:u w:val="single"/>
        </w:rPr>
      </w:pPr>
      <w:r w:rsidRPr="004E4404">
        <w:rPr>
          <w:rFonts w:ascii="Arial" w:hAnsi="Arial" w:cs="Arial"/>
          <w:sz w:val="17"/>
          <w:szCs w:val="16"/>
          <w:u w:val="single"/>
        </w:rPr>
        <w:t xml:space="preserve">Contractors with neither of the above - </w:t>
      </w:r>
      <w:r w:rsidR="00A651D8">
        <w:rPr>
          <w:rFonts w:ascii="Arial" w:hAnsi="Arial" w:cs="Arial"/>
          <w:sz w:val="17"/>
          <w:szCs w:val="16"/>
          <w:u w:val="single"/>
        </w:rPr>
        <w:t>C</w:t>
      </w:r>
      <w:r w:rsidRPr="004E4404">
        <w:rPr>
          <w:rFonts w:ascii="Arial" w:hAnsi="Arial" w:cs="Arial"/>
          <w:sz w:val="17"/>
          <w:szCs w:val="16"/>
          <w:u w:val="single"/>
        </w:rPr>
        <w:t>ontractor can be reimbursed one of two ways:</w:t>
      </w:r>
    </w:p>
    <w:p w:rsidR="00DC21E4" w:rsidRPr="004E4404" w:rsidRDefault="00DC21E4" w:rsidP="004F6924">
      <w:pPr>
        <w:ind w:left="187"/>
        <w:rPr>
          <w:rFonts w:ascii="Arial" w:hAnsi="Arial" w:cs="Arial"/>
          <w:sz w:val="17"/>
          <w:szCs w:val="16"/>
        </w:rPr>
      </w:pPr>
      <w:r w:rsidRPr="004E4404">
        <w:rPr>
          <w:rFonts w:ascii="Arial" w:hAnsi="Arial" w:cs="Arial"/>
          <w:b/>
          <w:sz w:val="17"/>
          <w:szCs w:val="16"/>
        </w:rPr>
        <w:t>NYS Method I</w:t>
      </w:r>
      <w:r w:rsidRPr="004E4404">
        <w:rPr>
          <w:rFonts w:ascii="Arial" w:hAnsi="Arial" w:cs="Arial"/>
          <w:sz w:val="17"/>
          <w:szCs w:val="16"/>
        </w:rPr>
        <w:t>:  This allows for a fixed per diem reimbursement without receipts.  This method may be used even when lodging is obtained with a relative o</w:t>
      </w:r>
      <w:r w:rsidR="00D6780D" w:rsidRPr="004E4404">
        <w:rPr>
          <w:rFonts w:ascii="Arial" w:hAnsi="Arial" w:cs="Arial"/>
          <w:sz w:val="17"/>
          <w:szCs w:val="16"/>
        </w:rPr>
        <w:t>r</w:t>
      </w:r>
      <w:r w:rsidRPr="004E4404">
        <w:rPr>
          <w:rFonts w:ascii="Arial" w:hAnsi="Arial" w:cs="Arial"/>
          <w:sz w:val="17"/>
          <w:szCs w:val="16"/>
        </w:rPr>
        <w:t xml:space="preserve"> friend. The </w:t>
      </w:r>
      <w:r w:rsidR="00AB5046" w:rsidRPr="004E4404">
        <w:rPr>
          <w:rFonts w:ascii="Arial" w:hAnsi="Arial" w:cs="Arial"/>
          <w:sz w:val="17"/>
          <w:szCs w:val="16"/>
        </w:rPr>
        <w:t xml:space="preserve">per diem </w:t>
      </w:r>
      <w:r w:rsidRPr="004E4404">
        <w:rPr>
          <w:rFonts w:ascii="Arial" w:hAnsi="Arial" w:cs="Arial"/>
          <w:sz w:val="17"/>
          <w:szCs w:val="16"/>
        </w:rPr>
        <w:t>amount includes lodging, meals and incidental expenses.  The current Method I rates are available at the following website</w:t>
      </w:r>
      <w:r w:rsidR="0065142D">
        <w:rPr>
          <w:rFonts w:ascii="Arial" w:hAnsi="Arial" w:cs="Arial"/>
          <w:sz w:val="17"/>
          <w:szCs w:val="16"/>
        </w:rPr>
        <w:t xml:space="preserve">: </w:t>
      </w:r>
      <w:hyperlink r:id="rId11" w:history="1">
        <w:r w:rsidR="0065142D" w:rsidRPr="0065142D">
          <w:rPr>
            <w:rStyle w:val="Hyperlink"/>
            <w:rFonts w:ascii="Arial" w:hAnsi="Arial" w:cs="Arial"/>
            <w:sz w:val="17"/>
            <w:szCs w:val="16"/>
          </w:rPr>
          <w:t>www.osc.stat</w:t>
        </w:r>
        <w:r w:rsidR="0065142D" w:rsidRPr="0065142D">
          <w:rPr>
            <w:rStyle w:val="Hyperlink"/>
            <w:rFonts w:ascii="Arial" w:hAnsi="Arial" w:cs="Arial"/>
            <w:sz w:val="17"/>
            <w:szCs w:val="16"/>
          </w:rPr>
          <w:t>e</w:t>
        </w:r>
        <w:r w:rsidR="0065142D" w:rsidRPr="0065142D">
          <w:rPr>
            <w:rStyle w:val="Hyperlink"/>
            <w:rFonts w:ascii="Arial" w:hAnsi="Arial" w:cs="Arial"/>
            <w:sz w:val="17"/>
            <w:szCs w:val="16"/>
          </w:rPr>
          <w:t>.ny.us/agencies/travel/method1.htm</w:t>
        </w:r>
      </w:hyperlink>
      <w:r w:rsidR="000C02BB" w:rsidRPr="0065142D">
        <w:rPr>
          <w:rFonts w:ascii="Arial" w:hAnsi="Arial" w:cs="Arial"/>
          <w:sz w:val="17"/>
          <w:szCs w:val="16"/>
        </w:rPr>
        <w:t>.</w:t>
      </w:r>
      <w:r w:rsidR="000C02BB" w:rsidRPr="004E4404">
        <w:rPr>
          <w:rFonts w:ascii="Arial" w:hAnsi="Arial" w:cs="Arial"/>
          <w:sz w:val="17"/>
          <w:szCs w:val="16"/>
        </w:rPr>
        <w:t xml:space="preserve">  </w:t>
      </w:r>
      <w:r w:rsidRPr="004E4404">
        <w:rPr>
          <w:rFonts w:ascii="Arial" w:hAnsi="Arial" w:cs="Arial"/>
          <w:sz w:val="17"/>
          <w:szCs w:val="16"/>
        </w:rPr>
        <w:t xml:space="preserve">The meal allowances for day trips are not applicable.  </w:t>
      </w:r>
      <w:r w:rsidR="001F4B83" w:rsidRPr="004E4404">
        <w:rPr>
          <w:rFonts w:ascii="Arial" w:hAnsi="Arial" w:cs="Arial"/>
          <w:sz w:val="17"/>
          <w:szCs w:val="16"/>
        </w:rPr>
        <w:t xml:space="preserve">No lodging or meal receipts are required; however the </w:t>
      </w:r>
      <w:r w:rsidR="00A651D8">
        <w:rPr>
          <w:rFonts w:ascii="Arial" w:hAnsi="Arial" w:cs="Arial"/>
          <w:sz w:val="17"/>
          <w:szCs w:val="16"/>
        </w:rPr>
        <w:t>Contractor</w:t>
      </w:r>
      <w:r w:rsidR="001F4B83" w:rsidRPr="004E4404">
        <w:rPr>
          <w:rFonts w:ascii="Arial" w:hAnsi="Arial" w:cs="Arial"/>
          <w:sz w:val="17"/>
          <w:szCs w:val="16"/>
        </w:rPr>
        <w:t xml:space="preserve"> is required to maintain documentation substantiating the amount paid to the employee,</w:t>
      </w:r>
      <w:r w:rsidR="00654491">
        <w:rPr>
          <w:rFonts w:ascii="Arial" w:hAnsi="Arial" w:cs="Arial"/>
          <w:sz w:val="17"/>
          <w:szCs w:val="16"/>
        </w:rPr>
        <w:t xml:space="preserve"> </w:t>
      </w:r>
      <w:r w:rsidR="001F4B83" w:rsidRPr="004E4404">
        <w:rPr>
          <w:rFonts w:ascii="Arial" w:hAnsi="Arial" w:cs="Arial"/>
          <w:sz w:val="17"/>
          <w:szCs w:val="16"/>
        </w:rPr>
        <w:t>and such documentation must be</w:t>
      </w:r>
      <w:r w:rsidR="00654491">
        <w:rPr>
          <w:rFonts w:ascii="Arial" w:hAnsi="Arial" w:cs="Arial"/>
          <w:sz w:val="17"/>
          <w:szCs w:val="16"/>
        </w:rPr>
        <w:t xml:space="preserve"> </w:t>
      </w:r>
      <w:r w:rsidR="001F4B83" w:rsidRPr="004E4404">
        <w:rPr>
          <w:rFonts w:ascii="Arial" w:hAnsi="Arial" w:cs="Arial"/>
          <w:sz w:val="17"/>
          <w:szCs w:val="16"/>
        </w:rPr>
        <w:t>provided to the Contracting Officer upon request.</w:t>
      </w:r>
    </w:p>
    <w:p w:rsidR="00202031" w:rsidRPr="004E4404" w:rsidRDefault="00DC21E4" w:rsidP="002D1371">
      <w:pPr>
        <w:spacing w:before="60"/>
        <w:ind w:left="180"/>
        <w:rPr>
          <w:rFonts w:ascii="Arial" w:hAnsi="Arial" w:cs="Arial"/>
          <w:sz w:val="17"/>
          <w:szCs w:val="16"/>
        </w:rPr>
      </w:pPr>
      <w:r w:rsidRPr="004E4404">
        <w:rPr>
          <w:rFonts w:ascii="Arial" w:hAnsi="Arial" w:cs="Arial"/>
          <w:b/>
          <w:sz w:val="17"/>
          <w:szCs w:val="16"/>
        </w:rPr>
        <w:t>NYS Method II:</w:t>
      </w:r>
      <w:r w:rsidRPr="004E4404">
        <w:rPr>
          <w:rFonts w:ascii="Arial" w:hAnsi="Arial" w:cs="Arial"/>
          <w:sz w:val="17"/>
          <w:szCs w:val="16"/>
        </w:rPr>
        <w:t xml:space="preserve">  This allows for reimbursement of actual lodging costs up to a specific amount, plus </w:t>
      </w:r>
      <w:r w:rsidR="00AB5046" w:rsidRPr="004E4404">
        <w:rPr>
          <w:rFonts w:ascii="Arial" w:hAnsi="Arial" w:cs="Arial"/>
          <w:sz w:val="17"/>
          <w:szCs w:val="16"/>
        </w:rPr>
        <w:t xml:space="preserve">an </w:t>
      </w:r>
      <w:r w:rsidRPr="004E4404">
        <w:rPr>
          <w:rFonts w:ascii="Arial" w:hAnsi="Arial" w:cs="Arial"/>
          <w:sz w:val="17"/>
          <w:szCs w:val="16"/>
        </w:rPr>
        <w:t xml:space="preserve">allowance for meals.  </w:t>
      </w:r>
      <w:r w:rsidR="005535B1" w:rsidRPr="004E4404">
        <w:rPr>
          <w:rFonts w:ascii="Arial" w:hAnsi="Arial" w:cs="Arial"/>
          <w:sz w:val="17"/>
          <w:szCs w:val="16"/>
        </w:rPr>
        <w:t xml:space="preserve">Lodging should be obtained for an amount equal to or less than the maximum rate </w:t>
      </w:r>
      <w:r w:rsidR="00BB62A3" w:rsidRPr="004E4404">
        <w:rPr>
          <w:rFonts w:ascii="Arial" w:hAnsi="Arial" w:cs="Arial"/>
          <w:sz w:val="17"/>
          <w:szCs w:val="16"/>
        </w:rPr>
        <w:t xml:space="preserve">per person </w:t>
      </w:r>
      <w:r w:rsidR="005535B1" w:rsidRPr="004E4404">
        <w:rPr>
          <w:rFonts w:ascii="Arial" w:hAnsi="Arial" w:cs="Arial"/>
          <w:sz w:val="17"/>
          <w:szCs w:val="16"/>
        </w:rPr>
        <w:t>fo</w:t>
      </w:r>
      <w:r w:rsidR="005536D1" w:rsidRPr="004E4404">
        <w:rPr>
          <w:rFonts w:ascii="Arial" w:hAnsi="Arial" w:cs="Arial"/>
          <w:sz w:val="17"/>
          <w:szCs w:val="16"/>
        </w:rPr>
        <w:t>r the county the job is located.</w:t>
      </w:r>
      <w:r w:rsidR="008C43C2" w:rsidRPr="004E4404">
        <w:rPr>
          <w:rFonts w:ascii="Arial" w:hAnsi="Arial" w:cs="Arial"/>
          <w:sz w:val="17"/>
          <w:szCs w:val="16"/>
        </w:rPr>
        <w:t xml:space="preserve">  </w:t>
      </w:r>
      <w:r w:rsidR="00BB62A3" w:rsidRPr="004E4404">
        <w:rPr>
          <w:rFonts w:ascii="Arial" w:hAnsi="Arial" w:cs="Arial"/>
          <w:sz w:val="17"/>
          <w:szCs w:val="16"/>
        </w:rPr>
        <w:t xml:space="preserve">Lodging will be reimbursed with an original, detailed lodging receipt.  </w:t>
      </w:r>
      <w:r w:rsidR="005536D1" w:rsidRPr="004E4404">
        <w:rPr>
          <w:rFonts w:ascii="Arial" w:hAnsi="Arial" w:cs="Arial"/>
          <w:sz w:val="17"/>
          <w:szCs w:val="16"/>
        </w:rPr>
        <w:t>A meal rate is paid in addition to lodging reimbursement.  For each overnight</w:t>
      </w:r>
      <w:r w:rsidR="00BB62A3" w:rsidRPr="004E4404">
        <w:rPr>
          <w:rFonts w:ascii="Arial" w:hAnsi="Arial" w:cs="Arial"/>
          <w:sz w:val="17"/>
          <w:szCs w:val="16"/>
        </w:rPr>
        <w:t xml:space="preserve"> stay, the employee is entitled to one meal rate.  </w:t>
      </w:r>
      <w:r w:rsidR="005536D1" w:rsidRPr="004E4404">
        <w:rPr>
          <w:rFonts w:ascii="Arial" w:hAnsi="Arial" w:cs="Arial"/>
          <w:sz w:val="17"/>
          <w:szCs w:val="16"/>
        </w:rPr>
        <w:t xml:space="preserve">The maximum per diem rates are established by the federal government, </w:t>
      </w:r>
      <w:r w:rsidRPr="004E4404">
        <w:rPr>
          <w:rFonts w:ascii="Arial" w:hAnsi="Arial" w:cs="Arial"/>
          <w:sz w:val="17"/>
          <w:szCs w:val="16"/>
        </w:rPr>
        <w:t xml:space="preserve">and can be found at </w:t>
      </w:r>
      <w:hyperlink r:id="rId12" w:history="1">
        <w:r w:rsidRPr="004E4404">
          <w:rPr>
            <w:rStyle w:val="Hyperlink"/>
            <w:rFonts w:ascii="Arial" w:hAnsi="Arial" w:cs="Arial"/>
            <w:sz w:val="17"/>
            <w:szCs w:val="16"/>
          </w:rPr>
          <w:t>http://</w:t>
        </w:r>
        <w:r w:rsidRPr="004E4404">
          <w:rPr>
            <w:rStyle w:val="Hyperlink"/>
            <w:rFonts w:ascii="Arial" w:hAnsi="Arial" w:cs="Arial"/>
            <w:sz w:val="17"/>
            <w:szCs w:val="16"/>
          </w:rPr>
          <w:t>w</w:t>
        </w:r>
        <w:r w:rsidRPr="004E4404">
          <w:rPr>
            <w:rStyle w:val="Hyperlink"/>
            <w:rFonts w:ascii="Arial" w:hAnsi="Arial" w:cs="Arial"/>
            <w:sz w:val="17"/>
            <w:szCs w:val="16"/>
          </w:rPr>
          <w:t>ww.gsa.gov</w:t>
        </w:r>
      </w:hyperlink>
      <w:r w:rsidRPr="004E4404">
        <w:rPr>
          <w:rFonts w:ascii="Arial" w:hAnsi="Arial" w:cs="Arial"/>
          <w:sz w:val="17"/>
          <w:szCs w:val="16"/>
        </w:rPr>
        <w:t xml:space="preserve">.  </w:t>
      </w:r>
      <w:r w:rsidR="00840CD9" w:rsidRPr="004E4404">
        <w:rPr>
          <w:rFonts w:ascii="Arial" w:hAnsi="Arial" w:cs="Arial"/>
          <w:sz w:val="17"/>
          <w:szCs w:val="16"/>
        </w:rPr>
        <w:t xml:space="preserve">Click on ‘Per Diem Rates’ under ‘Travel Resources’, then click on ‘NY’ on the map of </w:t>
      </w:r>
      <w:smartTag w:uri="urn:schemas-microsoft-com:office:smarttags" w:element="country-region">
        <w:smartTag w:uri="urn:schemas-microsoft-com:office:smarttags" w:element="place">
          <w:r w:rsidR="00840CD9" w:rsidRPr="004E4404">
            <w:rPr>
              <w:rFonts w:ascii="Arial" w:hAnsi="Arial" w:cs="Arial"/>
              <w:sz w:val="17"/>
              <w:szCs w:val="16"/>
            </w:rPr>
            <w:t>USA</w:t>
          </w:r>
        </w:smartTag>
      </w:smartTag>
      <w:r w:rsidR="00840CD9" w:rsidRPr="004E4404">
        <w:rPr>
          <w:rFonts w:ascii="Arial" w:hAnsi="Arial" w:cs="Arial"/>
          <w:sz w:val="17"/>
          <w:szCs w:val="16"/>
        </w:rPr>
        <w:t xml:space="preserve"> to display current rates.  The rates listed are the maximum rates payable per county.  If the county is not shown, use the special rate that is listed for counties not shown.  All rates shown are the maximum reimbursement rates per person.  The column titled</w:t>
      </w:r>
      <w:r w:rsidR="00A651D8">
        <w:rPr>
          <w:rFonts w:ascii="Arial" w:hAnsi="Arial" w:cs="Arial"/>
          <w:sz w:val="17"/>
          <w:szCs w:val="16"/>
        </w:rPr>
        <w:t xml:space="preserve"> “</w:t>
      </w:r>
      <w:r w:rsidR="00840CD9" w:rsidRPr="004E4404">
        <w:rPr>
          <w:rFonts w:ascii="Arial" w:hAnsi="Arial" w:cs="Arial"/>
          <w:sz w:val="17"/>
          <w:szCs w:val="16"/>
        </w:rPr>
        <w:t>First &amp; Last Day (75% of M and IE)</w:t>
      </w:r>
      <w:r w:rsidR="00A651D8">
        <w:rPr>
          <w:rFonts w:ascii="Arial" w:hAnsi="Arial" w:cs="Arial"/>
          <w:sz w:val="17"/>
          <w:szCs w:val="16"/>
        </w:rPr>
        <w:t>”</w:t>
      </w:r>
      <w:r w:rsidR="00840CD9" w:rsidRPr="004E4404">
        <w:rPr>
          <w:rFonts w:ascii="Arial" w:hAnsi="Arial" w:cs="Arial"/>
          <w:sz w:val="17"/>
          <w:szCs w:val="16"/>
        </w:rPr>
        <w:t xml:space="preserve"> is not applicable. </w:t>
      </w:r>
      <w:r w:rsidR="00DF4EF7" w:rsidRPr="004E4404">
        <w:rPr>
          <w:rFonts w:ascii="Arial" w:hAnsi="Arial" w:cs="Arial"/>
          <w:sz w:val="17"/>
          <w:szCs w:val="16"/>
        </w:rPr>
        <w:t xml:space="preserve"> Reimburs</w:t>
      </w:r>
      <w:r w:rsidR="00840CD9" w:rsidRPr="004E4404">
        <w:rPr>
          <w:rFonts w:ascii="Arial" w:hAnsi="Arial" w:cs="Arial"/>
          <w:sz w:val="17"/>
          <w:szCs w:val="16"/>
        </w:rPr>
        <w:t>e</w:t>
      </w:r>
      <w:r w:rsidR="00DF4EF7" w:rsidRPr="004E4404">
        <w:rPr>
          <w:rFonts w:ascii="Arial" w:hAnsi="Arial" w:cs="Arial"/>
          <w:sz w:val="17"/>
          <w:szCs w:val="16"/>
        </w:rPr>
        <w:t xml:space="preserve">ment of </w:t>
      </w:r>
      <w:r w:rsidR="00D94A88" w:rsidRPr="004E4404">
        <w:rPr>
          <w:rFonts w:ascii="Arial" w:hAnsi="Arial" w:cs="Arial"/>
          <w:sz w:val="17"/>
          <w:szCs w:val="16"/>
        </w:rPr>
        <w:t xml:space="preserve">meal and lodging </w:t>
      </w:r>
      <w:r w:rsidR="00DF4EF7" w:rsidRPr="004E4404">
        <w:rPr>
          <w:rFonts w:ascii="Arial" w:hAnsi="Arial" w:cs="Arial"/>
          <w:sz w:val="17"/>
          <w:szCs w:val="16"/>
        </w:rPr>
        <w:t xml:space="preserve">expenses will be in accordance with </w:t>
      </w:r>
      <w:r w:rsidR="00840CD9" w:rsidRPr="004E4404">
        <w:rPr>
          <w:rFonts w:ascii="Arial" w:hAnsi="Arial" w:cs="Arial"/>
          <w:sz w:val="17"/>
          <w:szCs w:val="16"/>
        </w:rPr>
        <w:t>New York State Office of the Comptroller guidelines and the additional information provided in the OGS Guidelines for Payment of Overnight Travel Expenses</w:t>
      </w:r>
      <w:r w:rsidR="00BB62A3" w:rsidRPr="004E4404">
        <w:rPr>
          <w:rFonts w:ascii="Arial" w:hAnsi="Arial" w:cs="Arial"/>
          <w:sz w:val="17"/>
          <w:szCs w:val="16"/>
        </w:rPr>
        <w:t>.</w:t>
      </w:r>
    </w:p>
    <w:p w:rsidR="00202031" w:rsidRPr="004E4404" w:rsidRDefault="00202031" w:rsidP="004E4404">
      <w:pPr>
        <w:spacing w:before="80"/>
        <w:rPr>
          <w:rFonts w:ascii="Arial" w:hAnsi="Arial" w:cs="Arial"/>
          <w:sz w:val="17"/>
          <w:szCs w:val="16"/>
        </w:rPr>
      </w:pPr>
      <w:r w:rsidRPr="004E4404">
        <w:rPr>
          <w:rFonts w:ascii="Arial" w:hAnsi="Arial" w:cs="Arial"/>
          <w:sz w:val="17"/>
          <w:szCs w:val="16"/>
        </w:rPr>
        <w:t xml:space="preserve">Additional information on NYS Office of the Comptroller meal and lodging guidelines can be found at the following website:  </w:t>
      </w:r>
      <w:hyperlink r:id="rId13" w:history="1">
        <w:r w:rsidRPr="004E4404">
          <w:rPr>
            <w:rStyle w:val="Hyperlink"/>
            <w:rFonts w:ascii="Arial" w:hAnsi="Arial" w:cs="Arial"/>
            <w:sz w:val="17"/>
            <w:szCs w:val="16"/>
          </w:rPr>
          <w:t>http://w</w:t>
        </w:r>
        <w:r w:rsidRPr="004E4404">
          <w:rPr>
            <w:rStyle w:val="Hyperlink"/>
            <w:rFonts w:ascii="Arial" w:hAnsi="Arial" w:cs="Arial"/>
            <w:sz w:val="17"/>
            <w:szCs w:val="16"/>
          </w:rPr>
          <w:t>w</w:t>
        </w:r>
        <w:r w:rsidRPr="004E4404">
          <w:rPr>
            <w:rStyle w:val="Hyperlink"/>
            <w:rFonts w:ascii="Arial" w:hAnsi="Arial" w:cs="Arial"/>
            <w:sz w:val="17"/>
            <w:szCs w:val="16"/>
          </w:rPr>
          <w:t>w.osc.state.ny.us/agencies/travel/travel.htm</w:t>
        </w:r>
      </w:hyperlink>
      <w:r w:rsidR="004F6924">
        <w:rPr>
          <w:rFonts w:ascii="Arial" w:hAnsi="Arial" w:cs="Arial"/>
          <w:sz w:val="17"/>
          <w:szCs w:val="16"/>
        </w:rPr>
        <w:t>.</w:t>
      </w:r>
    </w:p>
    <w:p w:rsidR="004F6924" w:rsidRPr="004F6924" w:rsidRDefault="004F6924" w:rsidP="004F6924">
      <w:pPr>
        <w:rPr>
          <w:rFonts w:ascii="Arial" w:hAnsi="Arial" w:cs="Arial"/>
          <w:sz w:val="8"/>
          <w:szCs w:val="16"/>
        </w:rPr>
        <w:sectPr w:rsidR="004F6924" w:rsidRPr="004F6924" w:rsidSect="00BD5BBA">
          <w:type w:val="continuous"/>
          <w:pgSz w:w="12240" w:h="15840" w:code="1"/>
          <w:pgMar w:top="720" w:right="1498" w:bottom="720" w:left="1498" w:header="720" w:footer="403" w:gutter="0"/>
          <w:cols w:space="720"/>
          <w:formProt w:val="0"/>
          <w:titlePg/>
          <w:docGrid w:linePitch="360"/>
        </w:sectPr>
      </w:pPr>
    </w:p>
    <w:p w:rsidR="00DC21E4" w:rsidRPr="004E4404" w:rsidRDefault="00DC21E4" w:rsidP="004E4404">
      <w:pPr>
        <w:spacing w:before="80"/>
        <w:rPr>
          <w:rFonts w:ascii="Arial" w:hAnsi="Arial" w:cs="Arial"/>
          <w:sz w:val="17"/>
          <w:szCs w:val="16"/>
        </w:rPr>
      </w:pPr>
      <w:r w:rsidRPr="004E4404">
        <w:rPr>
          <w:rFonts w:ascii="Arial" w:hAnsi="Arial" w:cs="Arial"/>
          <w:sz w:val="17"/>
          <w:szCs w:val="16"/>
        </w:rPr>
        <w:t>The following guidelines are in addition to the methods of reimbursement mentioned above:</w:t>
      </w:r>
    </w:p>
    <w:p w:rsidR="00DC21E4" w:rsidRPr="004E4404" w:rsidRDefault="00DC21E4" w:rsidP="000C02BB">
      <w:pPr>
        <w:numPr>
          <w:ilvl w:val="0"/>
          <w:numId w:val="1"/>
        </w:numPr>
        <w:spacing w:before="40"/>
        <w:rPr>
          <w:rFonts w:ascii="Arial" w:hAnsi="Arial" w:cs="Arial"/>
          <w:sz w:val="17"/>
          <w:szCs w:val="16"/>
        </w:rPr>
      </w:pPr>
      <w:r w:rsidRPr="004E4404">
        <w:rPr>
          <w:rFonts w:ascii="Arial" w:hAnsi="Arial" w:cs="Arial"/>
          <w:sz w:val="17"/>
          <w:szCs w:val="16"/>
        </w:rPr>
        <w:t xml:space="preserve">Overnight stays must be at established lodging entities and be supported by </w:t>
      </w:r>
      <w:r w:rsidRPr="004E4404">
        <w:rPr>
          <w:rFonts w:ascii="Arial" w:hAnsi="Arial" w:cs="Arial"/>
          <w:sz w:val="17"/>
          <w:szCs w:val="16"/>
          <w:u w:val="single"/>
        </w:rPr>
        <w:t>original</w:t>
      </w:r>
      <w:r w:rsidRPr="004E4404">
        <w:rPr>
          <w:rFonts w:ascii="Arial" w:hAnsi="Arial" w:cs="Arial"/>
          <w:sz w:val="17"/>
          <w:szCs w:val="16"/>
        </w:rPr>
        <w:t xml:space="preserve"> detaile</w:t>
      </w:r>
      <w:r w:rsidR="00A651D8">
        <w:rPr>
          <w:rFonts w:ascii="Arial" w:hAnsi="Arial" w:cs="Arial"/>
          <w:sz w:val="17"/>
          <w:szCs w:val="16"/>
        </w:rPr>
        <w:t>d receipts.  They must include:</w:t>
      </w:r>
      <w:r w:rsidRPr="004E4404">
        <w:rPr>
          <w:rFonts w:ascii="Arial" w:hAnsi="Arial" w:cs="Arial"/>
          <w:sz w:val="17"/>
          <w:szCs w:val="16"/>
        </w:rPr>
        <w:t xml:space="preserve"> dates of service</w:t>
      </w:r>
      <w:r w:rsidR="00A651D8">
        <w:rPr>
          <w:rFonts w:ascii="Arial" w:hAnsi="Arial" w:cs="Arial"/>
          <w:sz w:val="17"/>
          <w:szCs w:val="16"/>
        </w:rPr>
        <w:t>;</w:t>
      </w:r>
      <w:r w:rsidRPr="004E4404">
        <w:rPr>
          <w:rFonts w:ascii="Arial" w:hAnsi="Arial" w:cs="Arial"/>
          <w:sz w:val="17"/>
          <w:szCs w:val="16"/>
        </w:rPr>
        <w:t xml:space="preserve"> number of guests</w:t>
      </w:r>
      <w:r w:rsidR="00A651D8">
        <w:rPr>
          <w:rFonts w:ascii="Arial" w:hAnsi="Arial" w:cs="Arial"/>
          <w:sz w:val="17"/>
          <w:szCs w:val="16"/>
        </w:rPr>
        <w:t>;</w:t>
      </w:r>
      <w:r w:rsidRPr="004E4404">
        <w:rPr>
          <w:rFonts w:ascii="Arial" w:hAnsi="Arial" w:cs="Arial"/>
          <w:sz w:val="17"/>
          <w:szCs w:val="16"/>
        </w:rPr>
        <w:t xml:space="preserve"> and room rate.</w:t>
      </w:r>
    </w:p>
    <w:p w:rsidR="00DC21E4" w:rsidRPr="004E4404" w:rsidRDefault="00DC21E4" w:rsidP="004E4404">
      <w:pPr>
        <w:numPr>
          <w:ilvl w:val="0"/>
          <w:numId w:val="1"/>
        </w:numPr>
        <w:spacing w:before="20"/>
        <w:rPr>
          <w:rFonts w:ascii="Arial" w:hAnsi="Arial" w:cs="Arial"/>
          <w:sz w:val="17"/>
          <w:szCs w:val="16"/>
        </w:rPr>
      </w:pPr>
      <w:r w:rsidRPr="004E4404">
        <w:rPr>
          <w:rFonts w:ascii="Arial" w:hAnsi="Arial" w:cs="Arial"/>
          <w:sz w:val="17"/>
          <w:szCs w:val="16"/>
        </w:rPr>
        <w:t>Lodging and meals will be reimbursed in accordance with the rates that were in effect on the date of service.</w:t>
      </w:r>
    </w:p>
    <w:p w:rsidR="00DC21E4" w:rsidRPr="004E4404" w:rsidRDefault="00DC21E4" w:rsidP="004E4404">
      <w:pPr>
        <w:numPr>
          <w:ilvl w:val="0"/>
          <w:numId w:val="1"/>
        </w:numPr>
        <w:spacing w:before="20"/>
        <w:rPr>
          <w:rFonts w:ascii="Arial" w:hAnsi="Arial" w:cs="Arial"/>
          <w:sz w:val="17"/>
          <w:szCs w:val="16"/>
        </w:rPr>
      </w:pPr>
      <w:r w:rsidRPr="004E4404">
        <w:rPr>
          <w:rFonts w:ascii="Arial" w:hAnsi="Arial" w:cs="Arial"/>
          <w:sz w:val="17"/>
          <w:szCs w:val="16"/>
        </w:rPr>
        <w:t>Taxes are paid on lodging costs in addition to the maximum rate.</w:t>
      </w:r>
    </w:p>
    <w:p w:rsidR="00DC21E4" w:rsidRPr="004E4404" w:rsidRDefault="00DC21E4" w:rsidP="004E4404">
      <w:pPr>
        <w:numPr>
          <w:ilvl w:val="0"/>
          <w:numId w:val="1"/>
        </w:numPr>
        <w:spacing w:before="20"/>
        <w:rPr>
          <w:rFonts w:ascii="Arial" w:hAnsi="Arial" w:cs="Arial"/>
          <w:sz w:val="17"/>
          <w:szCs w:val="16"/>
        </w:rPr>
      </w:pPr>
      <w:r w:rsidRPr="004E4404">
        <w:rPr>
          <w:rFonts w:ascii="Arial" w:hAnsi="Arial" w:cs="Arial"/>
          <w:sz w:val="17"/>
          <w:szCs w:val="16"/>
        </w:rPr>
        <w:t xml:space="preserve">Reimbursement is based on the county of the job location, not the location of </w:t>
      </w:r>
      <w:r w:rsidR="00264912" w:rsidRPr="004E4404">
        <w:rPr>
          <w:rFonts w:ascii="Arial" w:hAnsi="Arial" w:cs="Arial"/>
          <w:sz w:val="17"/>
          <w:szCs w:val="16"/>
        </w:rPr>
        <w:t xml:space="preserve">the </w:t>
      </w:r>
      <w:r w:rsidRPr="004E4404">
        <w:rPr>
          <w:rFonts w:ascii="Arial" w:hAnsi="Arial" w:cs="Arial"/>
          <w:sz w:val="17"/>
          <w:szCs w:val="16"/>
        </w:rPr>
        <w:t xml:space="preserve">hotel.  See note below for instructions on what to do if a hotel cannot be found. </w:t>
      </w:r>
    </w:p>
    <w:p w:rsidR="00DC21E4" w:rsidRPr="004E4404" w:rsidRDefault="00DC21E4" w:rsidP="004E4404">
      <w:pPr>
        <w:numPr>
          <w:ilvl w:val="0"/>
          <w:numId w:val="1"/>
        </w:numPr>
        <w:spacing w:before="20"/>
        <w:rPr>
          <w:rFonts w:ascii="Arial" w:hAnsi="Arial" w:cs="Arial"/>
          <w:sz w:val="17"/>
          <w:szCs w:val="16"/>
        </w:rPr>
      </w:pPr>
      <w:r w:rsidRPr="004E4404">
        <w:rPr>
          <w:rFonts w:ascii="Arial" w:hAnsi="Arial" w:cs="Arial"/>
          <w:sz w:val="17"/>
          <w:szCs w:val="16"/>
        </w:rPr>
        <w:t xml:space="preserve">Overhead and profit is not paid on </w:t>
      </w:r>
      <w:r w:rsidR="00A651D8">
        <w:rPr>
          <w:rFonts w:ascii="Arial" w:hAnsi="Arial" w:cs="Arial"/>
          <w:sz w:val="17"/>
          <w:szCs w:val="16"/>
        </w:rPr>
        <w:t>Contractor</w:t>
      </w:r>
      <w:r w:rsidRPr="004E4404">
        <w:rPr>
          <w:rFonts w:ascii="Arial" w:hAnsi="Arial" w:cs="Arial"/>
          <w:sz w:val="17"/>
          <w:szCs w:val="16"/>
        </w:rPr>
        <w:t xml:space="preserve">’s or </w:t>
      </w:r>
      <w:r w:rsidR="00A651D8">
        <w:rPr>
          <w:rFonts w:ascii="Arial" w:hAnsi="Arial" w:cs="Arial"/>
          <w:sz w:val="17"/>
          <w:szCs w:val="16"/>
        </w:rPr>
        <w:t>S</w:t>
      </w:r>
      <w:r w:rsidRPr="004E4404">
        <w:rPr>
          <w:rFonts w:ascii="Arial" w:hAnsi="Arial" w:cs="Arial"/>
          <w:sz w:val="17"/>
          <w:szCs w:val="16"/>
        </w:rPr>
        <w:t>ubcontractor’s travel expense</w:t>
      </w:r>
      <w:r w:rsidR="00A651D8">
        <w:rPr>
          <w:rFonts w:ascii="Arial" w:hAnsi="Arial" w:cs="Arial"/>
          <w:sz w:val="17"/>
          <w:szCs w:val="16"/>
        </w:rPr>
        <w:t>s.</w:t>
      </w:r>
    </w:p>
    <w:p w:rsidR="00DC21E4" w:rsidRPr="004E4404" w:rsidRDefault="00BB62A3" w:rsidP="004E4404">
      <w:pPr>
        <w:numPr>
          <w:ilvl w:val="0"/>
          <w:numId w:val="1"/>
        </w:numPr>
        <w:spacing w:before="20"/>
        <w:rPr>
          <w:rFonts w:ascii="Arial" w:hAnsi="Arial" w:cs="Arial"/>
          <w:sz w:val="17"/>
          <w:szCs w:val="16"/>
        </w:rPr>
      </w:pPr>
      <w:r w:rsidRPr="004E4404">
        <w:rPr>
          <w:rFonts w:ascii="Arial" w:hAnsi="Arial" w:cs="Arial"/>
          <w:sz w:val="17"/>
          <w:szCs w:val="16"/>
        </w:rPr>
        <w:t>For NYS Method II, t</w:t>
      </w:r>
      <w:r w:rsidR="00DC21E4" w:rsidRPr="004E4404">
        <w:rPr>
          <w:rFonts w:ascii="Arial" w:hAnsi="Arial" w:cs="Arial"/>
          <w:sz w:val="17"/>
          <w:szCs w:val="16"/>
        </w:rPr>
        <w:t>he meal rate covers dinner on the night of lodging, breakfast the next day, and incidentals.  Lunches are not reimbursable.</w:t>
      </w:r>
    </w:p>
    <w:p w:rsidR="00202031" w:rsidRPr="004E4404" w:rsidRDefault="00202031" w:rsidP="004E4404">
      <w:pPr>
        <w:numPr>
          <w:ilvl w:val="0"/>
          <w:numId w:val="1"/>
        </w:numPr>
        <w:spacing w:before="20"/>
        <w:rPr>
          <w:rFonts w:ascii="Arial" w:hAnsi="Arial" w:cs="Arial"/>
          <w:sz w:val="17"/>
          <w:szCs w:val="16"/>
        </w:rPr>
      </w:pPr>
      <w:r w:rsidRPr="004E4404">
        <w:rPr>
          <w:rFonts w:ascii="Arial" w:hAnsi="Arial" w:cs="Arial"/>
          <w:sz w:val="17"/>
          <w:szCs w:val="16"/>
        </w:rPr>
        <w:t>Employees are only eligible to receive one meal rate per overnight stay, regardless of the time of departure or return.</w:t>
      </w:r>
    </w:p>
    <w:p w:rsidR="00202031" w:rsidRPr="004E4404" w:rsidRDefault="00264912" w:rsidP="004E4404">
      <w:pPr>
        <w:numPr>
          <w:ilvl w:val="0"/>
          <w:numId w:val="1"/>
        </w:numPr>
        <w:spacing w:before="20"/>
        <w:rPr>
          <w:rFonts w:ascii="Arial" w:hAnsi="Arial" w:cs="Arial"/>
          <w:sz w:val="17"/>
          <w:szCs w:val="16"/>
        </w:rPr>
      </w:pPr>
      <w:r w:rsidRPr="004E4404">
        <w:rPr>
          <w:rFonts w:ascii="Arial" w:hAnsi="Arial" w:cs="Arial"/>
          <w:sz w:val="17"/>
          <w:szCs w:val="16"/>
        </w:rPr>
        <w:t xml:space="preserve">For NYS Method II, meal receipts are not required; however, the </w:t>
      </w:r>
      <w:r w:rsidR="00A651D8">
        <w:rPr>
          <w:rFonts w:ascii="Arial" w:hAnsi="Arial" w:cs="Arial"/>
          <w:sz w:val="17"/>
          <w:szCs w:val="16"/>
        </w:rPr>
        <w:t>Contractor</w:t>
      </w:r>
      <w:r w:rsidR="00DC21E4" w:rsidRPr="004E4404">
        <w:rPr>
          <w:rFonts w:ascii="Arial" w:hAnsi="Arial" w:cs="Arial"/>
          <w:sz w:val="17"/>
          <w:szCs w:val="16"/>
        </w:rPr>
        <w:t xml:space="preserve"> is only entitled to meal/incidental reimbursement in the amount that was actually paid to the employee.</w:t>
      </w:r>
      <w:r w:rsidR="00677AF6" w:rsidRPr="004E4404">
        <w:rPr>
          <w:rFonts w:ascii="Arial" w:hAnsi="Arial" w:cs="Arial"/>
          <w:sz w:val="17"/>
          <w:szCs w:val="16"/>
        </w:rPr>
        <w:t xml:space="preserve">  </w:t>
      </w:r>
      <w:r w:rsidR="00654491">
        <w:rPr>
          <w:rFonts w:ascii="Arial" w:hAnsi="Arial" w:cs="Arial"/>
          <w:sz w:val="17"/>
          <w:szCs w:val="16"/>
        </w:rPr>
        <w:t xml:space="preserve">The </w:t>
      </w:r>
      <w:r w:rsidR="00677AF6" w:rsidRPr="004E4404">
        <w:rPr>
          <w:rFonts w:ascii="Arial" w:hAnsi="Arial" w:cs="Arial"/>
          <w:sz w:val="17"/>
          <w:szCs w:val="16"/>
        </w:rPr>
        <w:t xml:space="preserve">Contractor is required to maintain documentation substantiating the amount paid to the employee, and such documentation must be provided to the Contracting Officer upon request.  </w:t>
      </w:r>
      <w:r w:rsidR="00DC21E4" w:rsidRPr="004E4404">
        <w:rPr>
          <w:rFonts w:ascii="Arial" w:hAnsi="Arial" w:cs="Arial"/>
          <w:sz w:val="17"/>
          <w:szCs w:val="16"/>
        </w:rPr>
        <w:t>The maximum amount that will be reimbursed will be the maxim</w:t>
      </w:r>
      <w:r w:rsidR="00A651D8">
        <w:rPr>
          <w:rFonts w:ascii="Arial" w:hAnsi="Arial" w:cs="Arial"/>
          <w:sz w:val="17"/>
          <w:szCs w:val="16"/>
        </w:rPr>
        <w:t>um allowed per federal rates.</w:t>
      </w:r>
    </w:p>
    <w:p w:rsidR="00DC21E4" w:rsidRPr="004E4404" w:rsidRDefault="00DC21E4" w:rsidP="004E4404">
      <w:pPr>
        <w:spacing w:before="80"/>
        <w:rPr>
          <w:rFonts w:ascii="Arial" w:hAnsi="Arial" w:cs="Arial"/>
          <w:sz w:val="17"/>
          <w:szCs w:val="16"/>
          <w:u w:val="single"/>
        </w:rPr>
      </w:pPr>
      <w:r w:rsidRPr="004E4404">
        <w:rPr>
          <w:rFonts w:ascii="Arial" w:hAnsi="Arial" w:cs="Arial"/>
          <w:sz w:val="17"/>
          <w:szCs w:val="16"/>
          <w:u w:val="single"/>
        </w:rPr>
        <w:t xml:space="preserve">If the </w:t>
      </w:r>
      <w:r w:rsidR="00A651D8">
        <w:rPr>
          <w:rFonts w:ascii="Arial" w:hAnsi="Arial" w:cs="Arial"/>
          <w:sz w:val="17"/>
          <w:szCs w:val="16"/>
          <w:u w:val="single"/>
        </w:rPr>
        <w:t>Contractor</w:t>
      </w:r>
      <w:r w:rsidRPr="004E4404">
        <w:rPr>
          <w:rFonts w:ascii="Arial" w:hAnsi="Arial" w:cs="Arial"/>
          <w:sz w:val="17"/>
          <w:szCs w:val="16"/>
          <w:u w:val="single"/>
        </w:rPr>
        <w:t xml:space="preserve"> cannot find lodging in the county of destination in accordance with the maximum allowable rate:</w:t>
      </w:r>
    </w:p>
    <w:p w:rsidR="00DC21E4" w:rsidRPr="004E4404" w:rsidRDefault="00DC21E4" w:rsidP="00DC21E4">
      <w:pPr>
        <w:rPr>
          <w:rFonts w:ascii="Arial" w:hAnsi="Arial" w:cs="Arial"/>
          <w:sz w:val="17"/>
          <w:szCs w:val="16"/>
        </w:rPr>
      </w:pPr>
      <w:r w:rsidRPr="004E4404">
        <w:rPr>
          <w:rFonts w:ascii="Arial" w:hAnsi="Arial" w:cs="Arial"/>
          <w:sz w:val="17"/>
          <w:szCs w:val="16"/>
        </w:rPr>
        <w:t>If the per diem (lodging plus meals) for the county where the lodging was incurred is equal to or less then the per diem for the county of destination, the traveler will be reimbursed at the rate for the county where the lodging was incurred.  If the per diem for the county where the lodging was incurred is greater than the per diem for the county of destination, the traveler must document that lodging was not available in the county of destination.  Adequate justification would include documenting that three hotels were contacted in the county of destination and no rooms were available.</w:t>
      </w:r>
      <w:r w:rsidR="002E07D6">
        <w:rPr>
          <w:rFonts w:ascii="Arial" w:hAnsi="Arial" w:cs="Arial"/>
          <w:sz w:val="17"/>
          <w:szCs w:val="16"/>
        </w:rPr>
        <w:t xml:space="preserve"> </w:t>
      </w:r>
      <w:r w:rsidRPr="004E4404">
        <w:rPr>
          <w:rFonts w:ascii="Arial" w:hAnsi="Arial" w:cs="Arial"/>
          <w:sz w:val="17"/>
          <w:szCs w:val="16"/>
        </w:rPr>
        <w:t xml:space="preserve"> If documentation justifies staying in a different county, reimbursement will be at the rate where the lodging was incurred.  If adequate justification is not provided, reimbursement will be at the rate for the county of destination.</w:t>
      </w:r>
    </w:p>
    <w:sectPr w:rsidR="00DC21E4" w:rsidRPr="004E4404" w:rsidSect="00BD5BBA">
      <w:type w:val="continuous"/>
      <w:pgSz w:w="12240" w:h="15840" w:code="1"/>
      <w:pgMar w:top="720" w:right="1498" w:bottom="720" w:left="149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E4" w:rsidRDefault="009A61E4">
      <w:r>
        <w:separator/>
      </w:r>
    </w:p>
  </w:endnote>
  <w:endnote w:type="continuationSeparator" w:id="0">
    <w:p w:rsidR="009A61E4" w:rsidRDefault="009A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08"/>
      <w:gridCol w:w="5508"/>
    </w:tblGrid>
    <w:tr w:rsidR="00C931E5" w:rsidRPr="00EE5E5F" w:rsidTr="00EE5E5F">
      <w:tc>
        <w:tcPr>
          <w:tcW w:w="5508" w:type="dxa"/>
        </w:tcPr>
        <w:p w:rsidR="00C931E5" w:rsidRPr="00EE5E5F" w:rsidRDefault="00C931E5" w:rsidP="000558C2">
          <w:pPr>
            <w:pStyle w:val="Footer"/>
            <w:rPr>
              <w:rFonts w:ascii="Arial" w:hAnsi="Arial" w:cs="Arial"/>
              <w:b/>
              <w:sz w:val="16"/>
              <w:szCs w:val="16"/>
            </w:rPr>
          </w:pPr>
          <w:r w:rsidRPr="00EE5E5F">
            <w:rPr>
              <w:rFonts w:ascii="Arial" w:hAnsi="Arial" w:cs="Arial"/>
              <w:b/>
              <w:sz w:val="16"/>
              <w:szCs w:val="16"/>
            </w:rPr>
            <w:t>B</w:t>
          </w:r>
          <w:r w:rsidR="00B356D0">
            <w:rPr>
              <w:rFonts w:ascii="Arial" w:hAnsi="Arial" w:cs="Arial"/>
              <w:b/>
              <w:sz w:val="16"/>
              <w:szCs w:val="16"/>
            </w:rPr>
            <w:t>DC 270 Reverse Rev01</w:t>
          </w:r>
        </w:p>
      </w:tc>
      <w:tc>
        <w:tcPr>
          <w:tcW w:w="5508" w:type="dxa"/>
        </w:tcPr>
        <w:p w:rsidR="00C931E5" w:rsidRPr="00EE5E5F" w:rsidRDefault="00C931E5" w:rsidP="00EE5E5F">
          <w:pPr>
            <w:pStyle w:val="Footer"/>
            <w:jc w:val="right"/>
            <w:rPr>
              <w:rFonts w:ascii="Arial" w:hAnsi="Arial" w:cs="Arial"/>
              <w:sz w:val="16"/>
              <w:szCs w:val="16"/>
            </w:rPr>
          </w:pPr>
          <w:r w:rsidRPr="00EE5E5F">
            <w:rPr>
              <w:rFonts w:ascii="Arial" w:hAnsi="Arial" w:cs="Arial"/>
              <w:sz w:val="16"/>
              <w:szCs w:val="16"/>
            </w:rPr>
            <w:t xml:space="preserve">Page </w:t>
          </w:r>
          <w:r w:rsidRPr="00EE5E5F">
            <w:rPr>
              <w:rFonts w:ascii="Arial" w:hAnsi="Arial" w:cs="Arial"/>
              <w:sz w:val="16"/>
              <w:szCs w:val="16"/>
            </w:rPr>
            <w:fldChar w:fldCharType="begin"/>
          </w:r>
          <w:r w:rsidRPr="00EE5E5F">
            <w:rPr>
              <w:rFonts w:ascii="Arial" w:hAnsi="Arial" w:cs="Arial"/>
              <w:sz w:val="16"/>
              <w:szCs w:val="16"/>
            </w:rPr>
            <w:instrText xml:space="preserve"> PAGE </w:instrText>
          </w:r>
          <w:r w:rsidRPr="00EE5E5F">
            <w:rPr>
              <w:rFonts w:ascii="Arial" w:hAnsi="Arial" w:cs="Arial"/>
              <w:sz w:val="16"/>
              <w:szCs w:val="16"/>
            </w:rPr>
            <w:fldChar w:fldCharType="separate"/>
          </w:r>
          <w:r w:rsidR="006664BF">
            <w:rPr>
              <w:rFonts w:ascii="Arial" w:hAnsi="Arial" w:cs="Arial"/>
              <w:noProof/>
              <w:sz w:val="16"/>
              <w:szCs w:val="16"/>
            </w:rPr>
            <w:t>2</w:t>
          </w:r>
          <w:r w:rsidRPr="00EE5E5F">
            <w:rPr>
              <w:rFonts w:ascii="Arial" w:hAnsi="Arial" w:cs="Arial"/>
              <w:sz w:val="16"/>
              <w:szCs w:val="16"/>
            </w:rPr>
            <w:fldChar w:fldCharType="end"/>
          </w:r>
          <w:r w:rsidRPr="00EE5E5F">
            <w:rPr>
              <w:rFonts w:ascii="Arial" w:hAnsi="Arial" w:cs="Arial"/>
              <w:sz w:val="16"/>
              <w:szCs w:val="16"/>
            </w:rPr>
            <w:t xml:space="preserve"> of </w:t>
          </w:r>
          <w:r w:rsidRPr="00EE5E5F">
            <w:rPr>
              <w:rFonts w:ascii="Arial" w:hAnsi="Arial" w:cs="Arial"/>
              <w:sz w:val="16"/>
              <w:szCs w:val="16"/>
            </w:rPr>
            <w:fldChar w:fldCharType="begin"/>
          </w:r>
          <w:r w:rsidRPr="00EE5E5F">
            <w:rPr>
              <w:rFonts w:ascii="Arial" w:hAnsi="Arial" w:cs="Arial"/>
              <w:sz w:val="16"/>
              <w:szCs w:val="16"/>
            </w:rPr>
            <w:instrText xml:space="preserve"> NUMPAGES </w:instrText>
          </w:r>
          <w:r w:rsidRPr="00EE5E5F">
            <w:rPr>
              <w:rFonts w:ascii="Arial" w:hAnsi="Arial" w:cs="Arial"/>
              <w:sz w:val="16"/>
              <w:szCs w:val="16"/>
            </w:rPr>
            <w:fldChar w:fldCharType="separate"/>
          </w:r>
          <w:r w:rsidR="006664BF">
            <w:rPr>
              <w:rFonts w:ascii="Arial" w:hAnsi="Arial" w:cs="Arial"/>
              <w:noProof/>
              <w:sz w:val="16"/>
              <w:szCs w:val="16"/>
            </w:rPr>
            <w:t>2</w:t>
          </w:r>
          <w:r w:rsidRPr="00EE5E5F">
            <w:rPr>
              <w:rFonts w:ascii="Arial" w:hAnsi="Arial" w:cs="Arial"/>
              <w:sz w:val="16"/>
              <w:szCs w:val="16"/>
            </w:rPr>
            <w:fldChar w:fldCharType="end"/>
          </w:r>
        </w:p>
      </w:tc>
    </w:tr>
  </w:tbl>
  <w:p w:rsidR="00C931E5" w:rsidRPr="004E4404" w:rsidRDefault="00C931E5" w:rsidP="000558C2">
    <w:pPr>
      <w:pStyle w:val="Footer"/>
      <w:rPr>
        <w:rFonts w:ascii="Arial" w:hAnsi="Arial" w:cs="Arial"/>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108" w:type="dxa"/>
      <w:tblLook w:val="01E0" w:firstRow="1" w:lastRow="1" w:firstColumn="1" w:lastColumn="1" w:noHBand="0" w:noVBand="0"/>
    </w:tblPr>
    <w:tblGrid>
      <w:gridCol w:w="5400"/>
      <w:gridCol w:w="5400"/>
    </w:tblGrid>
    <w:tr w:rsidR="00C931E5" w:rsidTr="00EE5E5F">
      <w:tc>
        <w:tcPr>
          <w:tcW w:w="5400" w:type="dxa"/>
        </w:tcPr>
        <w:p w:rsidR="00C931E5" w:rsidRPr="00EE5E5F" w:rsidRDefault="00C931E5" w:rsidP="000E589A">
          <w:pPr>
            <w:pStyle w:val="Footer"/>
            <w:rPr>
              <w:rFonts w:ascii="Arial" w:hAnsi="Arial" w:cs="Arial"/>
              <w:b/>
              <w:sz w:val="16"/>
              <w:szCs w:val="16"/>
            </w:rPr>
          </w:pPr>
          <w:r w:rsidRPr="00EE5E5F">
            <w:rPr>
              <w:rFonts w:ascii="Arial" w:hAnsi="Arial" w:cs="Arial"/>
              <w:b/>
              <w:sz w:val="16"/>
              <w:szCs w:val="16"/>
            </w:rPr>
            <w:t>B</w:t>
          </w:r>
          <w:r w:rsidR="00B356D0">
            <w:rPr>
              <w:rFonts w:ascii="Arial" w:hAnsi="Arial" w:cs="Arial"/>
              <w:b/>
              <w:sz w:val="16"/>
              <w:szCs w:val="16"/>
            </w:rPr>
            <w:t>DC 270 Rev01</w:t>
          </w:r>
        </w:p>
      </w:tc>
      <w:tc>
        <w:tcPr>
          <w:tcW w:w="5400" w:type="dxa"/>
        </w:tcPr>
        <w:p w:rsidR="00C931E5" w:rsidRPr="00EE5E5F" w:rsidRDefault="00C931E5" w:rsidP="00EE5E5F">
          <w:pPr>
            <w:pStyle w:val="Footer"/>
            <w:jc w:val="right"/>
            <w:rPr>
              <w:rFonts w:ascii="Arial" w:hAnsi="Arial" w:cs="Arial"/>
              <w:sz w:val="16"/>
              <w:szCs w:val="16"/>
            </w:rPr>
          </w:pPr>
          <w:r w:rsidRPr="00EE5E5F">
            <w:rPr>
              <w:rFonts w:ascii="Arial" w:hAnsi="Arial" w:cs="Arial"/>
              <w:sz w:val="16"/>
              <w:szCs w:val="16"/>
            </w:rPr>
            <w:t xml:space="preserve">Page </w:t>
          </w:r>
          <w:r w:rsidRPr="00EE5E5F">
            <w:rPr>
              <w:rFonts w:ascii="Arial" w:hAnsi="Arial" w:cs="Arial"/>
              <w:sz w:val="16"/>
              <w:szCs w:val="16"/>
            </w:rPr>
            <w:fldChar w:fldCharType="begin"/>
          </w:r>
          <w:r w:rsidRPr="00EE5E5F">
            <w:rPr>
              <w:rFonts w:ascii="Arial" w:hAnsi="Arial" w:cs="Arial"/>
              <w:sz w:val="16"/>
              <w:szCs w:val="16"/>
            </w:rPr>
            <w:instrText xml:space="preserve"> PAGE </w:instrText>
          </w:r>
          <w:r w:rsidRPr="00EE5E5F">
            <w:rPr>
              <w:rFonts w:ascii="Arial" w:hAnsi="Arial" w:cs="Arial"/>
              <w:sz w:val="16"/>
              <w:szCs w:val="16"/>
            </w:rPr>
            <w:fldChar w:fldCharType="separate"/>
          </w:r>
          <w:r w:rsidR="006664BF">
            <w:rPr>
              <w:rFonts w:ascii="Arial" w:hAnsi="Arial" w:cs="Arial"/>
              <w:noProof/>
              <w:sz w:val="16"/>
              <w:szCs w:val="16"/>
            </w:rPr>
            <w:t>1</w:t>
          </w:r>
          <w:r w:rsidRPr="00EE5E5F">
            <w:rPr>
              <w:rFonts w:ascii="Arial" w:hAnsi="Arial" w:cs="Arial"/>
              <w:sz w:val="16"/>
              <w:szCs w:val="16"/>
            </w:rPr>
            <w:fldChar w:fldCharType="end"/>
          </w:r>
          <w:r w:rsidRPr="00EE5E5F">
            <w:rPr>
              <w:rFonts w:ascii="Arial" w:hAnsi="Arial" w:cs="Arial"/>
              <w:sz w:val="16"/>
              <w:szCs w:val="16"/>
            </w:rPr>
            <w:t xml:space="preserve"> of </w:t>
          </w:r>
          <w:r w:rsidRPr="00EE5E5F">
            <w:rPr>
              <w:rFonts w:ascii="Arial" w:hAnsi="Arial" w:cs="Arial"/>
              <w:sz w:val="16"/>
              <w:szCs w:val="16"/>
            </w:rPr>
            <w:fldChar w:fldCharType="begin"/>
          </w:r>
          <w:r w:rsidRPr="00EE5E5F">
            <w:rPr>
              <w:rFonts w:ascii="Arial" w:hAnsi="Arial" w:cs="Arial"/>
              <w:sz w:val="16"/>
              <w:szCs w:val="16"/>
            </w:rPr>
            <w:instrText xml:space="preserve"> NUMPAGES </w:instrText>
          </w:r>
          <w:r w:rsidRPr="00EE5E5F">
            <w:rPr>
              <w:rFonts w:ascii="Arial" w:hAnsi="Arial" w:cs="Arial"/>
              <w:sz w:val="16"/>
              <w:szCs w:val="16"/>
            </w:rPr>
            <w:fldChar w:fldCharType="separate"/>
          </w:r>
          <w:r w:rsidR="006664BF">
            <w:rPr>
              <w:rFonts w:ascii="Arial" w:hAnsi="Arial" w:cs="Arial"/>
              <w:noProof/>
              <w:sz w:val="16"/>
              <w:szCs w:val="16"/>
            </w:rPr>
            <w:t>2</w:t>
          </w:r>
          <w:r w:rsidRPr="00EE5E5F">
            <w:rPr>
              <w:rFonts w:ascii="Arial" w:hAnsi="Arial" w:cs="Arial"/>
              <w:sz w:val="16"/>
              <w:szCs w:val="16"/>
            </w:rPr>
            <w:fldChar w:fldCharType="end"/>
          </w:r>
        </w:p>
      </w:tc>
    </w:tr>
  </w:tbl>
  <w:p w:rsidR="00C931E5" w:rsidRDefault="00C931E5" w:rsidP="00B37E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E4" w:rsidRDefault="009A61E4">
      <w:r>
        <w:separator/>
      </w:r>
    </w:p>
  </w:footnote>
  <w:footnote w:type="continuationSeparator" w:id="0">
    <w:p w:rsidR="009A61E4" w:rsidRDefault="009A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E5" w:rsidRPr="002D1371" w:rsidRDefault="00C931E5" w:rsidP="002D1371">
    <w:pPr>
      <w:jc w:val="center"/>
      <w:rPr>
        <w:rFonts w:ascii="Arial" w:hAnsi="Arial" w:cs="Arial"/>
        <w:b/>
        <w:sz w:val="24"/>
        <w:szCs w:val="24"/>
      </w:rPr>
    </w:pPr>
    <w:r w:rsidRPr="002D1371">
      <w:rPr>
        <w:rFonts w:ascii="Arial" w:hAnsi="Arial" w:cs="Arial"/>
        <w:b/>
        <w:sz w:val="24"/>
        <w:szCs w:val="24"/>
      </w:rPr>
      <w:t>Guidelines for Payment of Overnight Travel Expenses</w:t>
    </w:r>
  </w:p>
  <w:p w:rsidR="00C931E5" w:rsidRDefault="00C931E5" w:rsidP="002D1371">
    <w:pPr>
      <w:pStyle w:val="Header"/>
      <w:jc w:val="center"/>
    </w:pPr>
    <w:r>
      <w:rPr>
        <w:rFonts w:ascii="Arial" w:hAnsi="Arial" w:cs="Arial"/>
      </w:rPr>
      <w:t>For Labor and Material Emergency Contracts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E5" w:rsidRPr="00B356D0" w:rsidRDefault="00B356D0" w:rsidP="00B356D0">
    <w:pPr>
      <w:pStyle w:val="Header"/>
    </w:pPr>
    <w:r w:rsidRPr="00B356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pt;height:76.75pt">
          <v:imagedata r:id="rId1" o:title="2015-Contract Payment Audit Group 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AB8"/>
    <w:multiLevelType w:val="hybridMultilevel"/>
    <w:tmpl w:val="F2D4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hYB5krhTx65x3DueWDFgBLheZ6/VhCRqPTiWlsE32LFZ2gmF57MIRv3/xsT9UaG0u6pjYD02vkDBILD9CDKcA==" w:salt="DaSjL+857RZDiqPpnYU0j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1E4"/>
    <w:rsid w:val="0004425A"/>
    <w:rsid w:val="000558C2"/>
    <w:rsid w:val="000922EC"/>
    <w:rsid w:val="000949D5"/>
    <w:rsid w:val="00094EBF"/>
    <w:rsid w:val="000C02BB"/>
    <w:rsid w:val="000E589A"/>
    <w:rsid w:val="001E018D"/>
    <w:rsid w:val="001F4B83"/>
    <w:rsid w:val="00202031"/>
    <w:rsid w:val="0022387F"/>
    <w:rsid w:val="00236C51"/>
    <w:rsid w:val="00264912"/>
    <w:rsid w:val="00280FFC"/>
    <w:rsid w:val="00284068"/>
    <w:rsid w:val="00284DA2"/>
    <w:rsid w:val="002A6FAA"/>
    <w:rsid w:val="002C5CFC"/>
    <w:rsid w:val="002D1371"/>
    <w:rsid w:val="002E07D6"/>
    <w:rsid w:val="00301EE4"/>
    <w:rsid w:val="00347CE5"/>
    <w:rsid w:val="003814D2"/>
    <w:rsid w:val="00434669"/>
    <w:rsid w:val="004D6965"/>
    <w:rsid w:val="004E4404"/>
    <w:rsid w:val="004F6873"/>
    <w:rsid w:val="004F6924"/>
    <w:rsid w:val="005535B1"/>
    <w:rsid w:val="005536D1"/>
    <w:rsid w:val="00576253"/>
    <w:rsid w:val="00597FA0"/>
    <w:rsid w:val="005D23DD"/>
    <w:rsid w:val="005D78F7"/>
    <w:rsid w:val="005E6C5F"/>
    <w:rsid w:val="005F3648"/>
    <w:rsid w:val="005F3753"/>
    <w:rsid w:val="006010C8"/>
    <w:rsid w:val="006066E8"/>
    <w:rsid w:val="00637C3B"/>
    <w:rsid w:val="0065142D"/>
    <w:rsid w:val="00654491"/>
    <w:rsid w:val="006548B2"/>
    <w:rsid w:val="006664BF"/>
    <w:rsid w:val="0067343D"/>
    <w:rsid w:val="00677AF6"/>
    <w:rsid w:val="0069217A"/>
    <w:rsid w:val="0069641E"/>
    <w:rsid w:val="006B1A0A"/>
    <w:rsid w:val="006B5B51"/>
    <w:rsid w:val="006F0470"/>
    <w:rsid w:val="0071021E"/>
    <w:rsid w:val="00717383"/>
    <w:rsid w:val="007223ED"/>
    <w:rsid w:val="00741EF8"/>
    <w:rsid w:val="00795E1B"/>
    <w:rsid w:val="007A25A3"/>
    <w:rsid w:val="007B18BD"/>
    <w:rsid w:val="00806701"/>
    <w:rsid w:val="0081274E"/>
    <w:rsid w:val="00813B48"/>
    <w:rsid w:val="00834DEC"/>
    <w:rsid w:val="00840CD9"/>
    <w:rsid w:val="00841E9B"/>
    <w:rsid w:val="00885253"/>
    <w:rsid w:val="00886254"/>
    <w:rsid w:val="00886A69"/>
    <w:rsid w:val="00893A8A"/>
    <w:rsid w:val="008A2CE7"/>
    <w:rsid w:val="008B7F9E"/>
    <w:rsid w:val="008C43C2"/>
    <w:rsid w:val="008D4357"/>
    <w:rsid w:val="008D772C"/>
    <w:rsid w:val="008E21F9"/>
    <w:rsid w:val="00923612"/>
    <w:rsid w:val="00923B67"/>
    <w:rsid w:val="00956CC0"/>
    <w:rsid w:val="00960EC1"/>
    <w:rsid w:val="00962744"/>
    <w:rsid w:val="00983E32"/>
    <w:rsid w:val="009933F2"/>
    <w:rsid w:val="009A61E4"/>
    <w:rsid w:val="009C6BFA"/>
    <w:rsid w:val="009E0EA9"/>
    <w:rsid w:val="009E27D4"/>
    <w:rsid w:val="009F23DB"/>
    <w:rsid w:val="009F77A1"/>
    <w:rsid w:val="00A17E69"/>
    <w:rsid w:val="00A22AB6"/>
    <w:rsid w:val="00A53AFE"/>
    <w:rsid w:val="00A651D8"/>
    <w:rsid w:val="00AB1FF7"/>
    <w:rsid w:val="00AB5046"/>
    <w:rsid w:val="00AD6A6A"/>
    <w:rsid w:val="00B01218"/>
    <w:rsid w:val="00B065D9"/>
    <w:rsid w:val="00B356D0"/>
    <w:rsid w:val="00B356DF"/>
    <w:rsid w:val="00B37EFA"/>
    <w:rsid w:val="00B84E47"/>
    <w:rsid w:val="00B9681D"/>
    <w:rsid w:val="00BA48D6"/>
    <w:rsid w:val="00BB62A3"/>
    <w:rsid w:val="00BC7D10"/>
    <w:rsid w:val="00BD5BBA"/>
    <w:rsid w:val="00BE6015"/>
    <w:rsid w:val="00BF3B44"/>
    <w:rsid w:val="00C67DAD"/>
    <w:rsid w:val="00C83B6A"/>
    <w:rsid w:val="00C931E5"/>
    <w:rsid w:val="00CB5609"/>
    <w:rsid w:val="00CF11A9"/>
    <w:rsid w:val="00D15A3F"/>
    <w:rsid w:val="00D54D45"/>
    <w:rsid w:val="00D6780D"/>
    <w:rsid w:val="00D704CF"/>
    <w:rsid w:val="00D94A88"/>
    <w:rsid w:val="00DA6300"/>
    <w:rsid w:val="00DC21E4"/>
    <w:rsid w:val="00DC7BA4"/>
    <w:rsid w:val="00DF4EF7"/>
    <w:rsid w:val="00E51C8F"/>
    <w:rsid w:val="00E841F6"/>
    <w:rsid w:val="00E863CE"/>
    <w:rsid w:val="00E97510"/>
    <w:rsid w:val="00ED4652"/>
    <w:rsid w:val="00EE5E5F"/>
    <w:rsid w:val="00F158DF"/>
    <w:rsid w:val="00F358AD"/>
    <w:rsid w:val="00F44DE5"/>
    <w:rsid w:val="00F50517"/>
    <w:rsid w:val="00F67E7A"/>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C54FD61-AF87-4F00-8DCB-7540447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E4"/>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21E4"/>
    <w:rPr>
      <w:color w:val="0000FF"/>
      <w:u w:val="single"/>
    </w:rPr>
  </w:style>
  <w:style w:type="paragraph" w:styleId="BalloonText">
    <w:name w:val="Balloon Text"/>
    <w:basedOn w:val="Normal"/>
    <w:semiHidden/>
    <w:rsid w:val="00DC21E4"/>
    <w:rPr>
      <w:rFonts w:ascii="Tahoma" w:hAnsi="Tahoma" w:cs="Tahoma"/>
      <w:sz w:val="16"/>
      <w:szCs w:val="16"/>
    </w:rPr>
  </w:style>
  <w:style w:type="paragraph" w:styleId="Header">
    <w:name w:val="header"/>
    <w:basedOn w:val="Normal"/>
    <w:rsid w:val="008E21F9"/>
    <w:pPr>
      <w:tabs>
        <w:tab w:val="center" w:pos="4320"/>
        <w:tab w:val="right" w:pos="8640"/>
      </w:tabs>
    </w:pPr>
  </w:style>
  <w:style w:type="paragraph" w:styleId="Footer">
    <w:name w:val="footer"/>
    <w:basedOn w:val="Normal"/>
    <w:rsid w:val="008E21F9"/>
    <w:pPr>
      <w:tabs>
        <w:tab w:val="center" w:pos="4320"/>
        <w:tab w:val="right" w:pos="8640"/>
      </w:tabs>
    </w:pPr>
  </w:style>
  <w:style w:type="table" w:styleId="TableGrid">
    <w:name w:val="Table Grid"/>
    <w:basedOn w:val="TableNormal"/>
    <w:rsid w:val="008E21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E589A"/>
    <w:rPr>
      <w:i/>
      <w:iCs/>
    </w:rPr>
  </w:style>
  <w:style w:type="character" w:styleId="FollowedHyperlink">
    <w:name w:val="FollowedHyperlink"/>
    <w:rsid w:val="000442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c.state.ny.us/agencies/travel/travel.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travel/method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Guidelines for Payment of Overnight Travel Expenses</vt:lpstr>
    </vt:vector>
  </TitlesOfParts>
  <Company>New York State - Office of General Services</Company>
  <LinksUpToDate>false</LinksUpToDate>
  <CharactersWithSpaces>7801</CharactersWithSpaces>
  <SharedDoc>false</SharedDoc>
  <HLinks>
    <vt:vector size="18" baseType="variant">
      <vt:variant>
        <vt:i4>786508</vt:i4>
      </vt:variant>
      <vt:variant>
        <vt:i4>63</vt:i4>
      </vt:variant>
      <vt:variant>
        <vt:i4>0</vt:i4>
      </vt:variant>
      <vt:variant>
        <vt:i4>5</vt:i4>
      </vt:variant>
      <vt:variant>
        <vt:lpwstr>http://www.osc.state.ny.us/agencies/travel/travel.htm</vt:lpwstr>
      </vt:variant>
      <vt:variant>
        <vt:lpwstr/>
      </vt:variant>
      <vt:variant>
        <vt:i4>3932258</vt:i4>
      </vt:variant>
      <vt:variant>
        <vt:i4>60</vt:i4>
      </vt:variant>
      <vt:variant>
        <vt:i4>0</vt:i4>
      </vt:variant>
      <vt:variant>
        <vt:i4>5</vt:i4>
      </vt:variant>
      <vt:variant>
        <vt:lpwstr>http://www.gsa.gov/</vt:lpwstr>
      </vt:variant>
      <vt:variant>
        <vt:lpwstr/>
      </vt:variant>
      <vt:variant>
        <vt:i4>6553727</vt:i4>
      </vt:variant>
      <vt:variant>
        <vt:i4>57</vt:i4>
      </vt:variant>
      <vt:variant>
        <vt:i4>0</vt:i4>
      </vt:variant>
      <vt:variant>
        <vt:i4>5</vt:i4>
      </vt:variant>
      <vt:variant>
        <vt:lpwstr>http://www.osc.state.ny.us/agencies/travel/method1.htm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Payment of Overnight Travel Expenses</dc:title>
  <dc:subject/>
  <dc:creator>Bush, Jessica</dc:creator>
  <cp:keywords/>
  <dc:description/>
  <cp:lastModifiedBy>Karr, Christine (OGS)</cp:lastModifiedBy>
  <cp:revision>2</cp:revision>
  <cp:lastPrinted>2007-09-18T14:09:00Z</cp:lastPrinted>
  <dcterms:created xsi:type="dcterms:W3CDTF">2017-08-03T16:42:00Z</dcterms:created>
  <dcterms:modified xsi:type="dcterms:W3CDTF">2017-08-03T16:42:00Z</dcterms:modified>
</cp:coreProperties>
</file>