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960"/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4410"/>
        <w:gridCol w:w="1080"/>
        <w:gridCol w:w="1260"/>
        <w:gridCol w:w="1170"/>
        <w:gridCol w:w="1620"/>
        <w:gridCol w:w="1080"/>
        <w:gridCol w:w="1350"/>
        <w:gridCol w:w="1080"/>
      </w:tblGrid>
      <w:tr w:rsidR="009F6796" w:rsidRPr="00FC2380" w14:paraId="521B6BF1" w14:textId="77777777" w:rsidTr="00BC3382">
        <w:tc>
          <w:tcPr>
            <w:tcW w:w="1170" w:type="dxa"/>
          </w:tcPr>
          <w:p w14:paraId="6715D790" w14:textId="77777777" w:rsidR="009F6796" w:rsidRPr="00161A77" w:rsidRDefault="009F6796" w:rsidP="00BC3382">
            <w:pPr>
              <w:spacing w:before="240"/>
              <w:jc w:val="center"/>
              <w:rPr>
                <w:rFonts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161A77">
              <w:rPr>
                <w:rFonts w:cs="Times New Roman"/>
                <w:b/>
                <w:sz w:val="20"/>
                <w:szCs w:val="20"/>
              </w:rPr>
              <w:t>OGS Control Number</w:t>
            </w:r>
          </w:p>
        </w:tc>
        <w:tc>
          <w:tcPr>
            <w:tcW w:w="4410" w:type="dxa"/>
          </w:tcPr>
          <w:p w14:paraId="4BFB8CBF" w14:textId="77777777" w:rsidR="009F6796" w:rsidRPr="00161A77" w:rsidRDefault="009F6796" w:rsidP="00BC3382">
            <w:pPr>
              <w:spacing w:before="36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61A77">
              <w:rPr>
                <w:rFonts w:cs="Times New Roman"/>
                <w:b/>
                <w:color w:val="000000" w:themeColor="text1"/>
                <w:sz w:val="20"/>
                <w:szCs w:val="20"/>
              </w:rPr>
              <w:t>NYSID Commodity</w:t>
            </w:r>
          </w:p>
        </w:tc>
        <w:tc>
          <w:tcPr>
            <w:tcW w:w="1080" w:type="dxa"/>
          </w:tcPr>
          <w:p w14:paraId="0C5368A3" w14:textId="77777777" w:rsidR="009F6796" w:rsidRPr="00161A77" w:rsidRDefault="009F6796" w:rsidP="00BC3382">
            <w:pPr>
              <w:spacing w:before="2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61A77">
              <w:rPr>
                <w:rFonts w:cs="Times New Roman"/>
                <w:b/>
                <w:sz w:val="20"/>
                <w:szCs w:val="20"/>
              </w:rPr>
              <w:t>Request Type</w:t>
            </w:r>
          </w:p>
        </w:tc>
        <w:tc>
          <w:tcPr>
            <w:tcW w:w="1260" w:type="dxa"/>
          </w:tcPr>
          <w:p w14:paraId="76E1E23E" w14:textId="77777777" w:rsidR="009F6796" w:rsidRPr="00161A77" w:rsidRDefault="009F6796" w:rsidP="00BC3382">
            <w:pPr>
              <w:spacing w:before="36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61A77">
              <w:rPr>
                <w:rFonts w:cs="Times New Roman"/>
                <w:b/>
                <w:sz w:val="20"/>
                <w:szCs w:val="20"/>
              </w:rPr>
              <w:t>Customer</w:t>
            </w:r>
          </w:p>
        </w:tc>
        <w:tc>
          <w:tcPr>
            <w:tcW w:w="1170" w:type="dxa"/>
          </w:tcPr>
          <w:p w14:paraId="52B16B18" w14:textId="77777777" w:rsidR="009F6796" w:rsidRPr="00161A77" w:rsidRDefault="009F6796" w:rsidP="00BC3382">
            <w:pPr>
              <w:spacing w:before="2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61A77">
              <w:rPr>
                <w:rFonts w:cs="Times New Roman"/>
                <w:b/>
                <w:sz w:val="20"/>
                <w:szCs w:val="20"/>
              </w:rPr>
              <w:t>Annual Sales Volume</w:t>
            </w:r>
          </w:p>
        </w:tc>
        <w:tc>
          <w:tcPr>
            <w:tcW w:w="1620" w:type="dxa"/>
          </w:tcPr>
          <w:p w14:paraId="7B665A3F" w14:textId="77777777" w:rsidR="009F6796" w:rsidRPr="00161A77" w:rsidRDefault="009F6796" w:rsidP="00BC3382">
            <w:pPr>
              <w:spacing w:before="36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61A77">
              <w:rPr>
                <w:rFonts w:cs="Times New Roman"/>
                <w:b/>
                <w:sz w:val="20"/>
                <w:szCs w:val="20"/>
              </w:rPr>
              <w:t>Workshop</w:t>
            </w:r>
          </w:p>
        </w:tc>
        <w:tc>
          <w:tcPr>
            <w:tcW w:w="1080" w:type="dxa"/>
          </w:tcPr>
          <w:p w14:paraId="20A11D9F" w14:textId="77777777" w:rsidR="009F6796" w:rsidRDefault="009F6796" w:rsidP="00BC3382">
            <w:pPr>
              <w:spacing w:before="240"/>
              <w:jc w:val="center"/>
              <w:rPr>
                <w:b/>
                <w:sz w:val="20"/>
                <w:szCs w:val="20"/>
              </w:rPr>
            </w:pPr>
            <w:r w:rsidRPr="00FC2380">
              <w:rPr>
                <w:b/>
                <w:sz w:val="20"/>
                <w:szCs w:val="20"/>
              </w:rPr>
              <w:t xml:space="preserve">Total </w:t>
            </w:r>
          </w:p>
          <w:p w14:paraId="5FFA249E" w14:textId="77777777" w:rsidR="009F6796" w:rsidRPr="00FC2380" w:rsidRDefault="009F6796" w:rsidP="00BC3382">
            <w:pPr>
              <w:spacing w:after="60"/>
              <w:jc w:val="center"/>
              <w:rPr>
                <w:b/>
                <w:sz w:val="20"/>
                <w:szCs w:val="20"/>
              </w:rPr>
            </w:pPr>
            <w:r w:rsidRPr="00FC2380">
              <w:rPr>
                <w:b/>
                <w:sz w:val="20"/>
                <w:szCs w:val="20"/>
              </w:rPr>
              <w:t>Direct Labor FTE’s</w:t>
            </w:r>
          </w:p>
        </w:tc>
        <w:tc>
          <w:tcPr>
            <w:tcW w:w="1350" w:type="dxa"/>
          </w:tcPr>
          <w:p w14:paraId="1A5BA2A8" w14:textId="77777777" w:rsidR="009F6796" w:rsidRPr="00FC2380" w:rsidRDefault="009F6796" w:rsidP="00BC3382">
            <w:pPr>
              <w:spacing w:before="240"/>
              <w:jc w:val="center"/>
              <w:rPr>
                <w:b/>
                <w:sz w:val="20"/>
                <w:szCs w:val="20"/>
              </w:rPr>
            </w:pPr>
            <w:r w:rsidRPr="00FC2380">
              <w:rPr>
                <w:b/>
                <w:sz w:val="20"/>
                <w:szCs w:val="20"/>
              </w:rPr>
              <w:t>Total Disabled Labor FTE’s</w:t>
            </w:r>
          </w:p>
        </w:tc>
        <w:tc>
          <w:tcPr>
            <w:tcW w:w="1080" w:type="dxa"/>
          </w:tcPr>
          <w:p w14:paraId="487BD807" w14:textId="77777777" w:rsidR="009F6796" w:rsidRPr="00FC2380" w:rsidRDefault="009F6796" w:rsidP="00BC3382">
            <w:pPr>
              <w:spacing w:before="240" w:after="120"/>
              <w:jc w:val="center"/>
              <w:rPr>
                <w:b/>
                <w:sz w:val="20"/>
                <w:szCs w:val="20"/>
              </w:rPr>
            </w:pPr>
            <w:r w:rsidRPr="0039740D">
              <w:rPr>
                <w:b/>
                <w:color w:val="000000" w:themeColor="text1"/>
                <w:sz w:val="20"/>
                <w:szCs w:val="20"/>
              </w:rPr>
              <w:t>ESD Approval Date</w:t>
            </w:r>
          </w:p>
        </w:tc>
      </w:tr>
      <w:tr w:rsidR="00B233CC" w:rsidRPr="00FC2380" w14:paraId="3FE8806E" w14:textId="77777777" w:rsidTr="00BC3382">
        <w:tc>
          <w:tcPr>
            <w:tcW w:w="1170" w:type="dxa"/>
          </w:tcPr>
          <w:p w14:paraId="0108EFDF" w14:textId="77777777" w:rsidR="00B233CC" w:rsidRPr="00161A77" w:rsidRDefault="00B233CC" w:rsidP="00BC3382">
            <w:pPr>
              <w:spacing w:before="60" w:after="6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1035-C</w:t>
            </w:r>
          </w:p>
        </w:tc>
        <w:tc>
          <w:tcPr>
            <w:tcW w:w="4410" w:type="dxa"/>
          </w:tcPr>
          <w:p w14:paraId="4EE6E007" w14:textId="77777777" w:rsidR="00B233CC" w:rsidRPr="00161A77" w:rsidRDefault="00B233CC" w:rsidP="00BC3382">
            <w:pPr>
              <w:rPr>
                <w:rFonts w:cs="Times New Roman"/>
                <w:sz w:val="20"/>
                <w:szCs w:val="20"/>
              </w:rPr>
            </w:pPr>
            <w:r w:rsidRPr="00B233CC">
              <w:rPr>
                <w:rFonts w:cs="Times New Roman"/>
                <w:color w:val="000000" w:themeColor="text1"/>
                <w:sz w:val="20"/>
                <w:szCs w:val="20"/>
              </w:rPr>
              <w:t>A-1772 Forest Green Dress Blouse</w:t>
            </w:r>
          </w:p>
        </w:tc>
        <w:tc>
          <w:tcPr>
            <w:tcW w:w="1080" w:type="dxa"/>
          </w:tcPr>
          <w:p w14:paraId="0A2D5838" w14:textId="77777777" w:rsidR="00B233CC" w:rsidRDefault="00B233CC" w:rsidP="00BC3382">
            <w:pPr>
              <w:spacing w:before="60" w:after="6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New</w:t>
            </w:r>
          </w:p>
        </w:tc>
        <w:tc>
          <w:tcPr>
            <w:tcW w:w="1260" w:type="dxa"/>
          </w:tcPr>
          <w:p w14:paraId="089E1BF6" w14:textId="77777777" w:rsidR="00B233CC" w:rsidRPr="00161A77" w:rsidRDefault="00B233CC" w:rsidP="00BC3382">
            <w:pPr>
              <w:spacing w:before="60" w:after="6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Statewide</w:t>
            </w:r>
          </w:p>
        </w:tc>
        <w:tc>
          <w:tcPr>
            <w:tcW w:w="1170" w:type="dxa"/>
          </w:tcPr>
          <w:p w14:paraId="34A36803" w14:textId="77777777" w:rsidR="00B233CC" w:rsidRDefault="00B233CC" w:rsidP="00BC3382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$50,000.00</w:t>
            </w:r>
          </w:p>
        </w:tc>
        <w:tc>
          <w:tcPr>
            <w:tcW w:w="1620" w:type="dxa"/>
          </w:tcPr>
          <w:p w14:paraId="7BDA050A" w14:textId="77777777" w:rsidR="00B233CC" w:rsidRPr="00161A77" w:rsidRDefault="004D29F4" w:rsidP="00BC3382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Herkimer ARC</w:t>
            </w:r>
          </w:p>
        </w:tc>
        <w:tc>
          <w:tcPr>
            <w:tcW w:w="1080" w:type="dxa"/>
          </w:tcPr>
          <w:p w14:paraId="76005B8C" w14:textId="77777777" w:rsidR="00B233CC" w:rsidRDefault="004D29F4" w:rsidP="00BC338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.06</w:t>
            </w:r>
          </w:p>
        </w:tc>
        <w:tc>
          <w:tcPr>
            <w:tcW w:w="1350" w:type="dxa"/>
          </w:tcPr>
          <w:p w14:paraId="06C50113" w14:textId="77777777" w:rsidR="00B233CC" w:rsidRDefault="004D29F4" w:rsidP="00BC338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.06</w:t>
            </w:r>
          </w:p>
        </w:tc>
        <w:tc>
          <w:tcPr>
            <w:tcW w:w="1080" w:type="dxa"/>
          </w:tcPr>
          <w:p w14:paraId="4EC6E914" w14:textId="77777777" w:rsidR="00B233CC" w:rsidRPr="00FC2380" w:rsidRDefault="00B233CC" w:rsidP="00BC338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6/03/14</w:t>
            </w:r>
          </w:p>
        </w:tc>
      </w:tr>
      <w:tr w:rsidR="00B233CC" w:rsidRPr="00FC2380" w14:paraId="35934379" w14:textId="77777777" w:rsidTr="00BC3382">
        <w:tc>
          <w:tcPr>
            <w:tcW w:w="1170" w:type="dxa"/>
          </w:tcPr>
          <w:p w14:paraId="5593BF78" w14:textId="77777777" w:rsidR="00B233CC" w:rsidRPr="00161A77" w:rsidRDefault="00B233CC" w:rsidP="00BC3382">
            <w:pPr>
              <w:spacing w:before="60" w:after="60"/>
              <w:jc w:val="center"/>
              <w:rPr>
                <w:rFonts w:cs="Times New Roman"/>
                <w:sz w:val="20"/>
                <w:szCs w:val="20"/>
              </w:rPr>
            </w:pPr>
            <w:r w:rsidRPr="00161A77">
              <w:rPr>
                <w:rFonts w:cs="Times New Roman"/>
                <w:sz w:val="20"/>
                <w:szCs w:val="20"/>
              </w:rPr>
              <w:t>10</w:t>
            </w:r>
            <w:r>
              <w:rPr>
                <w:rFonts w:cs="Times New Roman"/>
                <w:sz w:val="20"/>
                <w:szCs w:val="20"/>
              </w:rPr>
              <w:t>3</w:t>
            </w:r>
            <w:r w:rsidRPr="00161A77">
              <w:rPr>
                <w:rFonts w:cs="Times New Roman"/>
                <w:sz w:val="20"/>
                <w:szCs w:val="20"/>
              </w:rPr>
              <w:t>7-C</w:t>
            </w:r>
          </w:p>
        </w:tc>
        <w:tc>
          <w:tcPr>
            <w:tcW w:w="4410" w:type="dxa"/>
          </w:tcPr>
          <w:p w14:paraId="202551B0" w14:textId="77777777" w:rsidR="00B233CC" w:rsidRPr="00161A77" w:rsidRDefault="00B233CC" w:rsidP="00BC3382">
            <w:pPr>
              <w:rPr>
                <w:rFonts w:cs="Times New Roman"/>
                <w:sz w:val="20"/>
                <w:szCs w:val="20"/>
              </w:rPr>
            </w:pPr>
            <w:r w:rsidRPr="00161A77">
              <w:rPr>
                <w:rFonts w:cs="Times New Roman"/>
                <w:sz w:val="20"/>
                <w:szCs w:val="20"/>
              </w:rPr>
              <w:t>A-1530 (2)-Pyramex Capstone Goggles/Face shields plus (2) VPACK6 disposable visors</w:t>
            </w:r>
          </w:p>
        </w:tc>
        <w:tc>
          <w:tcPr>
            <w:tcW w:w="1080" w:type="dxa"/>
          </w:tcPr>
          <w:p w14:paraId="52BB806A" w14:textId="77777777" w:rsidR="00B233CC" w:rsidRPr="00161A77" w:rsidRDefault="00B233CC" w:rsidP="00BC3382">
            <w:pPr>
              <w:spacing w:before="60" w:after="6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New</w:t>
            </w:r>
          </w:p>
        </w:tc>
        <w:tc>
          <w:tcPr>
            <w:tcW w:w="1260" w:type="dxa"/>
          </w:tcPr>
          <w:p w14:paraId="7E3A342D" w14:textId="77777777" w:rsidR="00B233CC" w:rsidRPr="00161A77" w:rsidRDefault="00B233CC" w:rsidP="00BC3382">
            <w:pPr>
              <w:spacing w:before="60" w:after="60"/>
              <w:jc w:val="center"/>
              <w:rPr>
                <w:rFonts w:cs="Times New Roman"/>
                <w:sz w:val="20"/>
                <w:szCs w:val="20"/>
              </w:rPr>
            </w:pPr>
            <w:r w:rsidRPr="00161A77">
              <w:rPr>
                <w:rFonts w:cs="Times New Roman"/>
                <w:sz w:val="20"/>
                <w:szCs w:val="20"/>
              </w:rPr>
              <w:t>Statewide</w:t>
            </w:r>
          </w:p>
        </w:tc>
        <w:tc>
          <w:tcPr>
            <w:tcW w:w="1170" w:type="dxa"/>
          </w:tcPr>
          <w:p w14:paraId="19F0A21A" w14:textId="77777777" w:rsidR="00B233CC" w:rsidRPr="00161A77" w:rsidRDefault="00B233CC" w:rsidP="00BC3382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$45,000.00</w:t>
            </w:r>
          </w:p>
        </w:tc>
        <w:tc>
          <w:tcPr>
            <w:tcW w:w="1620" w:type="dxa"/>
          </w:tcPr>
          <w:p w14:paraId="3F878DBF" w14:textId="77777777" w:rsidR="00B233CC" w:rsidRPr="00161A77" w:rsidRDefault="00B233CC" w:rsidP="00BC3382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161A77">
              <w:rPr>
                <w:rFonts w:cs="Times New Roman"/>
                <w:sz w:val="20"/>
                <w:szCs w:val="20"/>
              </w:rPr>
              <w:t>Herkimer ARC</w:t>
            </w:r>
          </w:p>
        </w:tc>
        <w:tc>
          <w:tcPr>
            <w:tcW w:w="1080" w:type="dxa"/>
          </w:tcPr>
          <w:p w14:paraId="4E55AB1B" w14:textId="77777777" w:rsidR="00B233CC" w:rsidRPr="00FC2380" w:rsidRDefault="00B233CC" w:rsidP="00BC338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.067</w:t>
            </w:r>
          </w:p>
        </w:tc>
        <w:tc>
          <w:tcPr>
            <w:tcW w:w="1350" w:type="dxa"/>
          </w:tcPr>
          <w:p w14:paraId="47921907" w14:textId="77777777" w:rsidR="00B233CC" w:rsidRPr="00FC2380" w:rsidRDefault="00B233CC" w:rsidP="00BC338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.067</w:t>
            </w:r>
          </w:p>
        </w:tc>
        <w:tc>
          <w:tcPr>
            <w:tcW w:w="1080" w:type="dxa"/>
          </w:tcPr>
          <w:p w14:paraId="4AD702CD" w14:textId="77777777" w:rsidR="00B233CC" w:rsidRPr="00FC2380" w:rsidRDefault="006F7564" w:rsidP="00BC338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7/19/14</w:t>
            </w:r>
          </w:p>
        </w:tc>
      </w:tr>
    </w:tbl>
    <w:p w14:paraId="6D9039FE" w14:textId="77777777" w:rsidR="008A7D34" w:rsidRPr="00AD42AB" w:rsidRDefault="008A7D34" w:rsidP="008A7D34">
      <w:pPr>
        <w:jc w:val="center"/>
        <w:rPr>
          <w:rFonts w:cs="Times New Roman"/>
          <w:b/>
          <w:sz w:val="20"/>
          <w:szCs w:val="20"/>
        </w:rPr>
      </w:pPr>
      <w:r w:rsidRPr="00AD42AB">
        <w:rPr>
          <w:rFonts w:cs="Times New Roman"/>
          <w:b/>
          <w:sz w:val="20"/>
          <w:szCs w:val="20"/>
        </w:rPr>
        <w:t>Preferred Source Applications Approved by OGS</w:t>
      </w:r>
    </w:p>
    <w:p w14:paraId="510DB896" w14:textId="77777777" w:rsidR="008A7D34" w:rsidRDefault="008A7D34" w:rsidP="008A7D34">
      <w:pPr>
        <w:spacing w:after="60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May </w:t>
      </w:r>
      <w:r w:rsidRPr="00AD42AB">
        <w:rPr>
          <w:rFonts w:cs="Times New Roman"/>
          <w:b/>
          <w:sz w:val="20"/>
          <w:szCs w:val="20"/>
        </w:rPr>
        <w:t>2014 through</w:t>
      </w:r>
      <w:r>
        <w:rPr>
          <w:rFonts w:cs="Times New Roman"/>
          <w:b/>
          <w:sz w:val="20"/>
          <w:szCs w:val="20"/>
        </w:rPr>
        <w:t xml:space="preserve"> November</w:t>
      </w:r>
      <w:r w:rsidRPr="00AD42AB">
        <w:rPr>
          <w:rFonts w:cs="Times New Roman"/>
          <w:b/>
          <w:sz w:val="20"/>
          <w:szCs w:val="20"/>
        </w:rPr>
        <w:t xml:space="preserve"> 2014</w:t>
      </w:r>
    </w:p>
    <w:p w14:paraId="166F4150" w14:textId="77777777" w:rsidR="008A7D34" w:rsidRPr="00AD42AB" w:rsidRDefault="008A7D34" w:rsidP="008A7D34">
      <w:pPr>
        <w:spacing w:before="120" w:after="120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The following items were approved by OGS in accordance with SFL </w:t>
      </w:r>
      <w:r>
        <w:rPr>
          <w:rFonts w:ascii="Mangal" w:hAnsi="Mangal" w:cs="Mangal"/>
          <w:b/>
          <w:sz w:val="20"/>
          <w:szCs w:val="20"/>
        </w:rPr>
        <w:t>§</w:t>
      </w:r>
      <w:r>
        <w:rPr>
          <w:rFonts w:cs="Times New Roman"/>
          <w:b/>
          <w:sz w:val="20"/>
          <w:szCs w:val="20"/>
        </w:rPr>
        <w:t>162 and the Procurement Council Guidelines.</w:t>
      </w:r>
    </w:p>
    <w:p w14:paraId="45296657" w14:textId="77777777" w:rsidR="00CF2BD8" w:rsidRDefault="00CF2BD8" w:rsidP="001B18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47EDFF" w14:textId="77777777" w:rsidR="009F6796" w:rsidRDefault="00BC3382" w:rsidP="001B18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3382">
        <w:rPr>
          <w:rFonts w:ascii="Times New Roman" w:hAnsi="Times New Roman"/>
          <w:sz w:val="24"/>
          <w:szCs w:val="24"/>
        </w:rPr>
        <w:t xml:space="preserve">Two </w:t>
      </w:r>
      <w:r w:rsidR="003B1D99">
        <w:rPr>
          <w:rFonts w:ascii="Times New Roman" w:hAnsi="Times New Roman"/>
          <w:sz w:val="24"/>
          <w:szCs w:val="24"/>
        </w:rPr>
        <w:t xml:space="preserve">NYSID products have received approval under OGS’ standing authority since our last report of </w:t>
      </w:r>
      <w:r w:rsidR="00230141">
        <w:rPr>
          <w:rFonts w:ascii="Times New Roman" w:hAnsi="Times New Roman"/>
          <w:sz w:val="24"/>
          <w:szCs w:val="24"/>
        </w:rPr>
        <w:t xml:space="preserve">May 21, 2014.  </w:t>
      </w:r>
    </w:p>
    <w:p w14:paraId="42823A09" w14:textId="77777777" w:rsidR="00BC3382" w:rsidRPr="00BC3382" w:rsidRDefault="00BC3382" w:rsidP="001B18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F9426A" w14:textId="77777777" w:rsidR="009F6796" w:rsidRDefault="00B1079C" w:rsidP="001B18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A-1772 Forest Green Dress Blouse </w:t>
      </w:r>
    </w:p>
    <w:p w14:paraId="2D759980" w14:textId="77777777" w:rsidR="006F7564" w:rsidRDefault="006F7564" w:rsidP="001B18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8E97CC" w14:textId="77777777" w:rsidR="009F6796" w:rsidRPr="00B1079C" w:rsidRDefault="00B1079C" w:rsidP="001B181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Forest Green Dress Blouse is used by members of the New York State Department of Environmental Conservation (</w:t>
      </w:r>
      <w:r w:rsidR="00411753">
        <w:rPr>
          <w:rFonts w:ascii="Times New Roman" w:hAnsi="Times New Roman"/>
          <w:sz w:val="24"/>
          <w:szCs w:val="24"/>
        </w:rPr>
        <w:t>DEC</w:t>
      </w:r>
      <w:r>
        <w:rPr>
          <w:rFonts w:ascii="Times New Roman" w:hAnsi="Times New Roman"/>
          <w:sz w:val="24"/>
          <w:szCs w:val="24"/>
        </w:rPr>
        <w:t>) Police for Graduation and other Formal Events.  This meets the form, function, and utility needs of the New York State Department of Environmental Conservation.</w:t>
      </w:r>
      <w:r w:rsidR="00BC3382">
        <w:rPr>
          <w:rFonts w:ascii="Times New Roman" w:hAnsi="Times New Roman"/>
          <w:sz w:val="24"/>
          <w:szCs w:val="24"/>
        </w:rPr>
        <w:t xml:space="preserve">  While this item specifically meets the needs of DEC, NYSID may offer similar uniforms to government entities that need them.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Herkimer ARC will be the provider of this item which would be available to all state agencies. Persons who are disabled will </w:t>
      </w:r>
      <w:r w:rsidR="006F7564">
        <w:rPr>
          <w:rFonts w:ascii="Times New Roman" w:hAnsi="Times New Roman" w:cs="Times New Roman"/>
          <w:sz w:val="24"/>
          <w:szCs w:val="24"/>
        </w:rPr>
        <w:t>assemble and re</w:t>
      </w:r>
      <w:r>
        <w:rPr>
          <w:rFonts w:ascii="Times New Roman" w:hAnsi="Times New Roman" w:cs="Times New Roman"/>
          <w:sz w:val="24"/>
          <w:szCs w:val="24"/>
        </w:rPr>
        <w:t>package these items. The disabled will perform 100% of the labor. Estimated annual sales volume is $50,000.</w:t>
      </w:r>
    </w:p>
    <w:p w14:paraId="60622DD9" w14:textId="77777777" w:rsidR="00B1079C" w:rsidRDefault="00B1079C" w:rsidP="001B18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185B546" w14:textId="77777777" w:rsidR="00B57A66" w:rsidRDefault="00305928" w:rsidP="001B18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05928">
        <w:rPr>
          <w:rFonts w:ascii="Times New Roman" w:hAnsi="Times New Roman"/>
          <w:b/>
          <w:sz w:val="24"/>
          <w:szCs w:val="24"/>
        </w:rPr>
        <w:t>A-1530 (2)-Pyramex Capstone Goggles/Face shields plus (2) VPACK6 disposable visors</w:t>
      </w:r>
    </w:p>
    <w:p w14:paraId="7188174B" w14:textId="77777777" w:rsidR="00BC3382" w:rsidRDefault="00BC3382" w:rsidP="001B18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F2826C" w14:textId="77777777" w:rsidR="00305928" w:rsidRPr="00305928" w:rsidRDefault="00305928" w:rsidP="001B18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5928">
        <w:rPr>
          <w:rFonts w:ascii="Times New Roman" w:hAnsi="Times New Roman" w:cs="Times New Roman"/>
          <w:sz w:val="24"/>
          <w:szCs w:val="24"/>
        </w:rPr>
        <w:t xml:space="preserve">The Pyramex Capstone Goggles/Face shield and disposable visors </w:t>
      </w:r>
      <w:r>
        <w:rPr>
          <w:rFonts w:ascii="Times New Roman" w:hAnsi="Times New Roman" w:cs="Times New Roman"/>
          <w:sz w:val="24"/>
          <w:szCs w:val="24"/>
        </w:rPr>
        <w:t xml:space="preserve">provide full facial protection. They </w:t>
      </w:r>
      <w:r w:rsidRPr="00305928">
        <w:rPr>
          <w:rFonts w:ascii="Times New Roman" w:hAnsi="Times New Roman" w:cs="Times New Roman"/>
          <w:sz w:val="24"/>
          <w:szCs w:val="24"/>
        </w:rPr>
        <w:t>meet the form function and utility for the NYS Department of Transportation</w:t>
      </w:r>
      <w:r w:rsidR="00524A83">
        <w:rPr>
          <w:rFonts w:ascii="Times New Roman" w:hAnsi="Times New Roman" w:cs="Times New Roman"/>
          <w:sz w:val="24"/>
          <w:szCs w:val="24"/>
        </w:rPr>
        <w:t xml:space="preserve">. Herkimer ARC will be the provider of this item which </w:t>
      </w:r>
      <w:r>
        <w:rPr>
          <w:rFonts w:ascii="Times New Roman" w:hAnsi="Times New Roman" w:cs="Times New Roman"/>
          <w:sz w:val="24"/>
          <w:szCs w:val="24"/>
        </w:rPr>
        <w:t>would be available to all state agencies.</w:t>
      </w:r>
      <w:r w:rsidR="00524A83">
        <w:rPr>
          <w:rFonts w:ascii="Times New Roman" w:hAnsi="Times New Roman" w:cs="Times New Roman"/>
          <w:sz w:val="24"/>
          <w:szCs w:val="24"/>
        </w:rPr>
        <w:t xml:space="preserve"> </w:t>
      </w:r>
      <w:r w:rsidR="00B233CC">
        <w:rPr>
          <w:rFonts w:ascii="Times New Roman" w:hAnsi="Times New Roman" w:cs="Times New Roman"/>
          <w:sz w:val="24"/>
          <w:szCs w:val="24"/>
        </w:rPr>
        <w:t>Persons who are disabled will repackage these items.</w:t>
      </w:r>
      <w:r w:rsidR="006F07B6">
        <w:rPr>
          <w:rFonts w:ascii="Times New Roman" w:hAnsi="Times New Roman" w:cs="Times New Roman"/>
          <w:sz w:val="24"/>
          <w:szCs w:val="24"/>
        </w:rPr>
        <w:t xml:space="preserve"> The disabled will perform 100% of the labor. Estimated annual sales volume is $45,000.</w:t>
      </w:r>
    </w:p>
    <w:sectPr w:rsidR="00305928" w:rsidRPr="00305928" w:rsidSect="004A79E1">
      <w:headerReference w:type="default" r:id="rId6"/>
      <w:pgSz w:w="15840" w:h="12240" w:orient="landscape"/>
      <w:pgMar w:top="1440" w:right="864" w:bottom="907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A87E4A" w14:textId="77777777" w:rsidR="005D61C8" w:rsidRDefault="005D61C8" w:rsidP="00CF2BD8">
      <w:pPr>
        <w:spacing w:after="0" w:line="240" w:lineRule="auto"/>
      </w:pPr>
      <w:r>
        <w:separator/>
      </w:r>
    </w:p>
  </w:endnote>
  <w:endnote w:type="continuationSeparator" w:id="0">
    <w:p w14:paraId="5CFEE405" w14:textId="77777777" w:rsidR="005D61C8" w:rsidRDefault="005D61C8" w:rsidP="00CF2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DEEE70" w14:textId="77777777" w:rsidR="005D61C8" w:rsidRDefault="005D61C8" w:rsidP="00CF2BD8">
      <w:pPr>
        <w:spacing w:after="0" w:line="240" w:lineRule="auto"/>
      </w:pPr>
      <w:r>
        <w:separator/>
      </w:r>
    </w:p>
  </w:footnote>
  <w:footnote w:type="continuationSeparator" w:id="0">
    <w:p w14:paraId="0499F653" w14:textId="77777777" w:rsidR="005D61C8" w:rsidRDefault="005D61C8" w:rsidP="00CF2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E61C3" w14:textId="77777777" w:rsidR="00CF2BD8" w:rsidRDefault="00CF2BD8" w:rsidP="0019744B">
    <w:pPr>
      <w:pStyle w:val="Header"/>
      <w:jc w:val="center"/>
    </w:pPr>
    <w:r>
      <w:t>Preferred Source Applications Under OGS Standing Authority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928"/>
    <w:rsid w:val="00161A77"/>
    <w:rsid w:val="0019744B"/>
    <w:rsid w:val="001B181C"/>
    <w:rsid w:val="00230141"/>
    <w:rsid w:val="00236FCA"/>
    <w:rsid w:val="00305928"/>
    <w:rsid w:val="0036039E"/>
    <w:rsid w:val="003B1D99"/>
    <w:rsid w:val="003E3508"/>
    <w:rsid w:val="00411753"/>
    <w:rsid w:val="004376C7"/>
    <w:rsid w:val="004A79E1"/>
    <w:rsid w:val="004D29F4"/>
    <w:rsid w:val="00524A83"/>
    <w:rsid w:val="005D61C8"/>
    <w:rsid w:val="006F07B6"/>
    <w:rsid w:val="006F7564"/>
    <w:rsid w:val="008A7D34"/>
    <w:rsid w:val="009F6796"/>
    <w:rsid w:val="00B1079C"/>
    <w:rsid w:val="00B233CC"/>
    <w:rsid w:val="00B57A66"/>
    <w:rsid w:val="00BC3382"/>
    <w:rsid w:val="00CF2BD8"/>
    <w:rsid w:val="00E6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E5A67"/>
  <w15:docId w15:val="{E2FEAC7B-C9CA-433B-808A-9DFD57EB8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2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2BD8"/>
  </w:style>
  <w:style w:type="paragraph" w:styleId="Footer">
    <w:name w:val="footer"/>
    <w:basedOn w:val="Normal"/>
    <w:link w:val="FooterChar"/>
    <w:uiPriority w:val="99"/>
    <w:unhideWhenUsed/>
    <w:rsid w:val="00CF2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B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85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1587</Characters>
  <Application>Microsoft Office Word</Application>
  <DocSecurity>0</DocSecurity>
  <Lines>59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OGS Digital Communications</Manager>
  <Company>New York State</Company>
  <LinksUpToDate>false</LinksUpToDate>
  <CharactersWithSpaces>1843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NYS Procurement Council, November 19, 2014 Preferred Source Application</dc:title>
  <dc:subject>NYS Procurement Council, November 19, 2014 Preferred Source Application</dc:subject>
  <dc:creator>Lemme, Maria</dc:creator>
  <cp:keywords>NYS Procurement Council, November 19, 2014 Preferred Source Application</cp:keywords>
  <dc:description/>
  <cp:lastModifiedBy>Lynn, Cheska (OGS)</cp:lastModifiedBy>
  <cp:revision>4</cp:revision>
  <dcterms:created xsi:type="dcterms:W3CDTF">2014-11-17T20:29:00Z</dcterms:created>
  <dcterms:modified xsi:type="dcterms:W3CDTF">2019-02-05T17:02:00Z</dcterms:modified>
  <cp:category/>
</cp:coreProperties>
</file>