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5DD3" w14:textId="77777777" w:rsidR="005A4F00" w:rsidRPr="00FB49A7" w:rsidRDefault="00FC2380" w:rsidP="00EA5D12">
      <w:pPr>
        <w:jc w:val="center"/>
        <w:rPr>
          <w:b/>
          <w:color w:val="000000" w:themeColor="text1"/>
          <w:sz w:val="23"/>
          <w:szCs w:val="23"/>
        </w:rPr>
      </w:pPr>
      <w:bookmarkStart w:id="0" w:name="_GoBack"/>
      <w:bookmarkEnd w:id="0"/>
      <w:r w:rsidRPr="00307996">
        <w:rPr>
          <w:b/>
          <w:sz w:val="23"/>
          <w:szCs w:val="23"/>
        </w:rPr>
        <w:t xml:space="preserve">PREFERRED SOURCE APPLICATIONS APPROVED BY </w:t>
      </w:r>
      <w:r w:rsidRPr="00FB49A7">
        <w:rPr>
          <w:b/>
          <w:color w:val="000000" w:themeColor="text1"/>
          <w:sz w:val="23"/>
          <w:szCs w:val="23"/>
        </w:rPr>
        <w:t>OGS</w:t>
      </w:r>
      <w:r w:rsidR="00FB49A7" w:rsidRPr="00FB49A7">
        <w:rPr>
          <w:b/>
          <w:color w:val="000000" w:themeColor="text1"/>
          <w:sz w:val="16"/>
          <w:szCs w:val="23"/>
        </w:rPr>
        <w:t xml:space="preserve"> (REVISED 10/29/13)</w:t>
      </w:r>
    </w:p>
    <w:p w14:paraId="6E7B4995" w14:textId="77777777" w:rsidR="006D0EBB" w:rsidRDefault="00FA1E83" w:rsidP="00FA1E83">
      <w:pPr>
        <w:spacing w:before="120" w:after="120"/>
        <w:jc w:val="center"/>
        <w:rPr>
          <w:sz w:val="23"/>
          <w:szCs w:val="23"/>
        </w:rPr>
      </w:pPr>
      <w:r>
        <w:rPr>
          <w:b/>
          <w:sz w:val="23"/>
          <w:szCs w:val="23"/>
        </w:rPr>
        <w:t>March through October 2013</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410"/>
        <w:gridCol w:w="1080"/>
        <w:gridCol w:w="1260"/>
        <w:gridCol w:w="1170"/>
        <w:gridCol w:w="1620"/>
        <w:gridCol w:w="1080"/>
        <w:gridCol w:w="1350"/>
        <w:gridCol w:w="1080"/>
      </w:tblGrid>
      <w:tr w:rsidR="00FC2380" w:rsidRPr="00AB0745" w14:paraId="31FC05A0" w14:textId="77777777" w:rsidTr="00FB49A7">
        <w:tc>
          <w:tcPr>
            <w:tcW w:w="1170" w:type="dxa"/>
          </w:tcPr>
          <w:p w14:paraId="0AC2C27B" w14:textId="77777777" w:rsidR="00E502D3" w:rsidRPr="00FC2380" w:rsidRDefault="00E502D3" w:rsidP="00FB49A7">
            <w:pPr>
              <w:spacing w:before="240"/>
              <w:jc w:val="center"/>
              <w:rPr>
                <w:b/>
                <w:sz w:val="20"/>
                <w:szCs w:val="20"/>
              </w:rPr>
            </w:pPr>
            <w:r w:rsidRPr="00FC2380">
              <w:rPr>
                <w:b/>
                <w:sz w:val="20"/>
                <w:szCs w:val="20"/>
              </w:rPr>
              <w:t>OGS Control Number</w:t>
            </w:r>
          </w:p>
        </w:tc>
        <w:tc>
          <w:tcPr>
            <w:tcW w:w="4410" w:type="dxa"/>
          </w:tcPr>
          <w:p w14:paraId="6CABAB25" w14:textId="77777777" w:rsidR="00E502D3" w:rsidRPr="00FC2380" w:rsidRDefault="000B5644" w:rsidP="00855140">
            <w:pPr>
              <w:spacing w:before="360"/>
              <w:jc w:val="center"/>
              <w:rPr>
                <w:b/>
                <w:sz w:val="20"/>
                <w:szCs w:val="20"/>
              </w:rPr>
            </w:pPr>
            <w:r w:rsidRPr="00FB49A7">
              <w:rPr>
                <w:b/>
                <w:color w:val="000000" w:themeColor="text1"/>
                <w:sz w:val="20"/>
                <w:szCs w:val="20"/>
              </w:rPr>
              <w:t xml:space="preserve">NYSID </w:t>
            </w:r>
            <w:r w:rsidR="00E502D3" w:rsidRPr="00FB49A7">
              <w:rPr>
                <w:b/>
                <w:color w:val="000000" w:themeColor="text1"/>
                <w:sz w:val="20"/>
                <w:szCs w:val="20"/>
              </w:rPr>
              <w:t>Commodity</w:t>
            </w:r>
          </w:p>
        </w:tc>
        <w:tc>
          <w:tcPr>
            <w:tcW w:w="1080" w:type="dxa"/>
          </w:tcPr>
          <w:p w14:paraId="10D188B4" w14:textId="77777777" w:rsidR="00E502D3" w:rsidRPr="00FC2380" w:rsidRDefault="00E502D3" w:rsidP="00855140">
            <w:pPr>
              <w:spacing w:before="240"/>
              <w:jc w:val="center"/>
              <w:rPr>
                <w:b/>
                <w:sz w:val="20"/>
                <w:szCs w:val="20"/>
              </w:rPr>
            </w:pPr>
            <w:r w:rsidRPr="00FC2380">
              <w:rPr>
                <w:b/>
                <w:sz w:val="20"/>
                <w:szCs w:val="20"/>
              </w:rPr>
              <w:t>Request Type</w:t>
            </w:r>
          </w:p>
        </w:tc>
        <w:tc>
          <w:tcPr>
            <w:tcW w:w="1260" w:type="dxa"/>
          </w:tcPr>
          <w:p w14:paraId="51762859" w14:textId="77777777" w:rsidR="00E502D3" w:rsidRPr="00FC2380" w:rsidRDefault="00E502D3" w:rsidP="00855140">
            <w:pPr>
              <w:spacing w:before="360"/>
              <w:jc w:val="center"/>
              <w:rPr>
                <w:b/>
                <w:sz w:val="20"/>
                <w:szCs w:val="20"/>
              </w:rPr>
            </w:pPr>
            <w:r w:rsidRPr="00FC2380">
              <w:rPr>
                <w:b/>
                <w:sz w:val="20"/>
                <w:szCs w:val="20"/>
              </w:rPr>
              <w:t>Customer</w:t>
            </w:r>
          </w:p>
        </w:tc>
        <w:tc>
          <w:tcPr>
            <w:tcW w:w="1170" w:type="dxa"/>
          </w:tcPr>
          <w:p w14:paraId="3CF6B8B2" w14:textId="77777777" w:rsidR="00E502D3" w:rsidRPr="00FC2380" w:rsidRDefault="00E502D3" w:rsidP="00855140">
            <w:pPr>
              <w:spacing w:before="240"/>
              <w:jc w:val="center"/>
              <w:rPr>
                <w:b/>
                <w:sz w:val="20"/>
                <w:szCs w:val="20"/>
              </w:rPr>
            </w:pPr>
            <w:r w:rsidRPr="00FC2380">
              <w:rPr>
                <w:b/>
                <w:sz w:val="20"/>
                <w:szCs w:val="20"/>
              </w:rPr>
              <w:t>Annual Sales Volume</w:t>
            </w:r>
          </w:p>
        </w:tc>
        <w:tc>
          <w:tcPr>
            <w:tcW w:w="1620" w:type="dxa"/>
          </w:tcPr>
          <w:p w14:paraId="601860C0" w14:textId="77777777" w:rsidR="00E502D3" w:rsidRPr="00FC2380" w:rsidRDefault="00E502D3" w:rsidP="00855140">
            <w:pPr>
              <w:spacing w:before="360"/>
              <w:jc w:val="center"/>
              <w:rPr>
                <w:b/>
                <w:sz w:val="20"/>
                <w:szCs w:val="20"/>
              </w:rPr>
            </w:pPr>
            <w:r w:rsidRPr="00FC2380">
              <w:rPr>
                <w:b/>
                <w:sz w:val="20"/>
                <w:szCs w:val="20"/>
              </w:rPr>
              <w:t>Workshop</w:t>
            </w:r>
          </w:p>
        </w:tc>
        <w:tc>
          <w:tcPr>
            <w:tcW w:w="1080" w:type="dxa"/>
          </w:tcPr>
          <w:p w14:paraId="224488A8" w14:textId="77777777" w:rsidR="00855140" w:rsidRDefault="00E502D3" w:rsidP="00855140">
            <w:pPr>
              <w:spacing w:before="240"/>
              <w:jc w:val="center"/>
              <w:rPr>
                <w:b/>
                <w:sz w:val="20"/>
                <w:szCs w:val="20"/>
              </w:rPr>
            </w:pPr>
            <w:r w:rsidRPr="00FC2380">
              <w:rPr>
                <w:b/>
                <w:sz w:val="20"/>
                <w:szCs w:val="20"/>
              </w:rPr>
              <w:t xml:space="preserve">Total </w:t>
            </w:r>
          </w:p>
          <w:p w14:paraId="3A3B65E1" w14:textId="77777777" w:rsidR="00E502D3" w:rsidRPr="00FC2380" w:rsidRDefault="00E502D3" w:rsidP="00855140">
            <w:pPr>
              <w:spacing w:after="60"/>
              <w:jc w:val="center"/>
              <w:rPr>
                <w:b/>
                <w:sz w:val="20"/>
                <w:szCs w:val="20"/>
              </w:rPr>
            </w:pPr>
            <w:r w:rsidRPr="00FC2380">
              <w:rPr>
                <w:b/>
                <w:sz w:val="20"/>
                <w:szCs w:val="20"/>
              </w:rPr>
              <w:t>Direct Labor FTE’s</w:t>
            </w:r>
          </w:p>
        </w:tc>
        <w:tc>
          <w:tcPr>
            <w:tcW w:w="1350" w:type="dxa"/>
          </w:tcPr>
          <w:p w14:paraId="13C04235" w14:textId="77777777" w:rsidR="00E502D3" w:rsidRPr="00FC2380" w:rsidRDefault="00E502D3" w:rsidP="00855140">
            <w:pPr>
              <w:spacing w:before="240"/>
              <w:jc w:val="center"/>
              <w:rPr>
                <w:b/>
                <w:sz w:val="20"/>
                <w:szCs w:val="20"/>
              </w:rPr>
            </w:pPr>
            <w:r w:rsidRPr="00FC2380">
              <w:rPr>
                <w:b/>
                <w:sz w:val="20"/>
                <w:szCs w:val="20"/>
              </w:rPr>
              <w:t>Total Disabled Labor FTE’s</w:t>
            </w:r>
          </w:p>
        </w:tc>
        <w:tc>
          <w:tcPr>
            <w:tcW w:w="1080" w:type="dxa"/>
          </w:tcPr>
          <w:p w14:paraId="51B89A15" w14:textId="77777777" w:rsidR="00E502D3" w:rsidRPr="00FC2380" w:rsidRDefault="00E502D3" w:rsidP="00855140">
            <w:pPr>
              <w:spacing w:before="240" w:after="120"/>
              <w:jc w:val="center"/>
              <w:rPr>
                <w:b/>
                <w:sz w:val="20"/>
                <w:szCs w:val="20"/>
              </w:rPr>
            </w:pPr>
            <w:r w:rsidRPr="0039740D">
              <w:rPr>
                <w:b/>
                <w:color w:val="000000" w:themeColor="text1"/>
                <w:sz w:val="20"/>
                <w:szCs w:val="20"/>
              </w:rPr>
              <w:t>ESD Approval Date</w:t>
            </w:r>
          </w:p>
        </w:tc>
      </w:tr>
      <w:tr w:rsidR="00FC2380" w:rsidRPr="00AB0745" w14:paraId="567783DC" w14:textId="77777777" w:rsidTr="00FB49A7">
        <w:tc>
          <w:tcPr>
            <w:tcW w:w="1170" w:type="dxa"/>
          </w:tcPr>
          <w:p w14:paraId="2C70977A" w14:textId="77777777" w:rsidR="00E502D3" w:rsidRPr="00FC2380" w:rsidRDefault="00C81EDE" w:rsidP="00855140">
            <w:pPr>
              <w:spacing w:before="60" w:after="60"/>
              <w:jc w:val="center"/>
              <w:rPr>
                <w:sz w:val="20"/>
                <w:szCs w:val="20"/>
              </w:rPr>
            </w:pPr>
            <w:r w:rsidRPr="00FC2380">
              <w:rPr>
                <w:sz w:val="20"/>
                <w:szCs w:val="20"/>
              </w:rPr>
              <w:t>10</w:t>
            </w:r>
            <w:r w:rsidR="00F0552A" w:rsidRPr="00FC2380">
              <w:rPr>
                <w:sz w:val="20"/>
                <w:szCs w:val="20"/>
              </w:rPr>
              <w:t>13</w:t>
            </w:r>
            <w:r w:rsidRPr="00FC2380">
              <w:rPr>
                <w:sz w:val="20"/>
                <w:szCs w:val="20"/>
              </w:rPr>
              <w:t>-C</w:t>
            </w:r>
          </w:p>
        </w:tc>
        <w:tc>
          <w:tcPr>
            <w:tcW w:w="4410" w:type="dxa"/>
          </w:tcPr>
          <w:p w14:paraId="767000AE" w14:textId="77777777" w:rsidR="00E502D3" w:rsidRPr="00FC2380" w:rsidRDefault="00C81EDE" w:rsidP="00855140">
            <w:pPr>
              <w:spacing w:before="60" w:after="60"/>
              <w:rPr>
                <w:sz w:val="20"/>
                <w:szCs w:val="20"/>
              </w:rPr>
            </w:pPr>
            <w:r w:rsidRPr="00FC2380">
              <w:rPr>
                <w:sz w:val="20"/>
                <w:szCs w:val="20"/>
              </w:rPr>
              <w:t>Paper Napkins</w:t>
            </w:r>
          </w:p>
        </w:tc>
        <w:tc>
          <w:tcPr>
            <w:tcW w:w="1080" w:type="dxa"/>
          </w:tcPr>
          <w:p w14:paraId="41D6F97D" w14:textId="77777777" w:rsidR="00E502D3" w:rsidRPr="00FC2380" w:rsidRDefault="00C81EDE" w:rsidP="00855140">
            <w:pPr>
              <w:spacing w:before="60" w:after="60"/>
              <w:jc w:val="center"/>
              <w:rPr>
                <w:sz w:val="20"/>
                <w:szCs w:val="20"/>
              </w:rPr>
            </w:pPr>
            <w:r w:rsidRPr="00FC2380">
              <w:rPr>
                <w:sz w:val="20"/>
                <w:szCs w:val="20"/>
              </w:rPr>
              <w:t>New</w:t>
            </w:r>
          </w:p>
        </w:tc>
        <w:tc>
          <w:tcPr>
            <w:tcW w:w="1260" w:type="dxa"/>
          </w:tcPr>
          <w:p w14:paraId="6F2E0800" w14:textId="77777777" w:rsidR="00E502D3" w:rsidRPr="00FC2380" w:rsidRDefault="00C81EDE" w:rsidP="00855140">
            <w:pPr>
              <w:spacing w:before="60" w:after="60"/>
              <w:jc w:val="center"/>
              <w:rPr>
                <w:sz w:val="20"/>
                <w:szCs w:val="20"/>
              </w:rPr>
            </w:pPr>
            <w:r w:rsidRPr="00FC2380">
              <w:rPr>
                <w:sz w:val="20"/>
                <w:szCs w:val="20"/>
              </w:rPr>
              <w:t>Statewide</w:t>
            </w:r>
          </w:p>
        </w:tc>
        <w:tc>
          <w:tcPr>
            <w:tcW w:w="1170" w:type="dxa"/>
          </w:tcPr>
          <w:p w14:paraId="53F5CECD" w14:textId="77777777" w:rsidR="00E502D3" w:rsidRPr="00FC2380" w:rsidRDefault="00C81EDE" w:rsidP="00855140">
            <w:pPr>
              <w:spacing w:before="60" w:after="60"/>
              <w:jc w:val="right"/>
              <w:rPr>
                <w:sz w:val="20"/>
                <w:szCs w:val="20"/>
              </w:rPr>
            </w:pPr>
            <w:r w:rsidRPr="00FC2380">
              <w:rPr>
                <w:sz w:val="20"/>
                <w:szCs w:val="20"/>
              </w:rPr>
              <w:t>$74,000</w:t>
            </w:r>
          </w:p>
        </w:tc>
        <w:tc>
          <w:tcPr>
            <w:tcW w:w="1620" w:type="dxa"/>
          </w:tcPr>
          <w:p w14:paraId="180B7068" w14:textId="77777777" w:rsidR="00E502D3" w:rsidRPr="00FC2380" w:rsidRDefault="00C81EDE" w:rsidP="00855140">
            <w:pPr>
              <w:spacing w:before="60" w:after="60"/>
              <w:rPr>
                <w:sz w:val="20"/>
                <w:szCs w:val="20"/>
              </w:rPr>
            </w:pPr>
            <w:proofErr w:type="spellStart"/>
            <w:r w:rsidRPr="00FC2380">
              <w:rPr>
                <w:sz w:val="20"/>
                <w:szCs w:val="20"/>
              </w:rPr>
              <w:t>Lifespire</w:t>
            </w:r>
            <w:proofErr w:type="spellEnd"/>
            <w:r w:rsidRPr="00FC2380">
              <w:rPr>
                <w:sz w:val="20"/>
                <w:szCs w:val="20"/>
              </w:rPr>
              <w:t>, Inc.</w:t>
            </w:r>
          </w:p>
        </w:tc>
        <w:tc>
          <w:tcPr>
            <w:tcW w:w="1080" w:type="dxa"/>
          </w:tcPr>
          <w:p w14:paraId="09E408C5" w14:textId="77777777" w:rsidR="00E502D3" w:rsidRPr="00FC2380" w:rsidRDefault="00C81EDE" w:rsidP="00855140">
            <w:pPr>
              <w:spacing w:before="60" w:after="60"/>
              <w:jc w:val="center"/>
              <w:rPr>
                <w:sz w:val="20"/>
                <w:szCs w:val="20"/>
              </w:rPr>
            </w:pPr>
            <w:r w:rsidRPr="00FC2380">
              <w:rPr>
                <w:sz w:val="20"/>
                <w:szCs w:val="20"/>
              </w:rPr>
              <w:t>.46</w:t>
            </w:r>
          </w:p>
        </w:tc>
        <w:tc>
          <w:tcPr>
            <w:tcW w:w="1350" w:type="dxa"/>
          </w:tcPr>
          <w:p w14:paraId="0C312FE2" w14:textId="77777777" w:rsidR="00E502D3" w:rsidRPr="00FC2380" w:rsidRDefault="00C81EDE" w:rsidP="00855140">
            <w:pPr>
              <w:spacing w:before="60" w:after="60"/>
              <w:jc w:val="center"/>
              <w:rPr>
                <w:sz w:val="20"/>
                <w:szCs w:val="20"/>
              </w:rPr>
            </w:pPr>
            <w:r w:rsidRPr="00FC2380">
              <w:rPr>
                <w:sz w:val="20"/>
                <w:szCs w:val="20"/>
              </w:rPr>
              <w:t>.46</w:t>
            </w:r>
          </w:p>
        </w:tc>
        <w:tc>
          <w:tcPr>
            <w:tcW w:w="1080" w:type="dxa"/>
          </w:tcPr>
          <w:p w14:paraId="56069B0F" w14:textId="77777777" w:rsidR="00E502D3" w:rsidRPr="00FC2380" w:rsidRDefault="00D177BD" w:rsidP="00855140">
            <w:pPr>
              <w:spacing w:before="60" w:after="60"/>
              <w:jc w:val="center"/>
              <w:rPr>
                <w:sz w:val="20"/>
                <w:szCs w:val="20"/>
              </w:rPr>
            </w:pPr>
            <w:r w:rsidRPr="00FC2380">
              <w:rPr>
                <w:sz w:val="20"/>
                <w:szCs w:val="20"/>
              </w:rPr>
              <w:t>6/6/13</w:t>
            </w:r>
          </w:p>
        </w:tc>
      </w:tr>
      <w:tr w:rsidR="00FC2380" w:rsidRPr="00AB0745" w14:paraId="1FC1845B" w14:textId="77777777" w:rsidTr="00FB49A7">
        <w:tc>
          <w:tcPr>
            <w:tcW w:w="1170" w:type="dxa"/>
          </w:tcPr>
          <w:p w14:paraId="420A80F7" w14:textId="77777777" w:rsidR="005506E1" w:rsidRPr="00FC2380" w:rsidRDefault="005506E1" w:rsidP="00855140">
            <w:pPr>
              <w:spacing w:before="60" w:after="60"/>
              <w:jc w:val="center"/>
              <w:rPr>
                <w:sz w:val="20"/>
                <w:szCs w:val="20"/>
              </w:rPr>
            </w:pPr>
            <w:r w:rsidRPr="00FC2380">
              <w:rPr>
                <w:sz w:val="20"/>
                <w:szCs w:val="20"/>
              </w:rPr>
              <w:t>1027-C</w:t>
            </w:r>
          </w:p>
        </w:tc>
        <w:tc>
          <w:tcPr>
            <w:tcW w:w="4410" w:type="dxa"/>
          </w:tcPr>
          <w:p w14:paraId="280248BE" w14:textId="77777777" w:rsidR="005506E1" w:rsidRPr="00FC2380" w:rsidRDefault="005506E1" w:rsidP="00855140">
            <w:pPr>
              <w:spacing w:before="60" w:after="60"/>
              <w:rPr>
                <w:sz w:val="20"/>
                <w:szCs w:val="20"/>
              </w:rPr>
            </w:pPr>
            <w:r w:rsidRPr="00FC2380">
              <w:rPr>
                <w:sz w:val="20"/>
                <w:szCs w:val="20"/>
              </w:rPr>
              <w:t>Cap Mounted Ear Muffs Style CMT-26</w:t>
            </w:r>
          </w:p>
        </w:tc>
        <w:tc>
          <w:tcPr>
            <w:tcW w:w="1080" w:type="dxa"/>
          </w:tcPr>
          <w:p w14:paraId="7AAD5FA9" w14:textId="77777777" w:rsidR="005506E1" w:rsidRPr="00FC2380" w:rsidRDefault="005506E1" w:rsidP="00855140">
            <w:pPr>
              <w:spacing w:before="60" w:after="60"/>
              <w:jc w:val="center"/>
              <w:rPr>
                <w:sz w:val="20"/>
                <w:szCs w:val="20"/>
              </w:rPr>
            </w:pPr>
            <w:r w:rsidRPr="00FC2380">
              <w:rPr>
                <w:sz w:val="20"/>
                <w:szCs w:val="20"/>
              </w:rPr>
              <w:t>New</w:t>
            </w:r>
          </w:p>
        </w:tc>
        <w:tc>
          <w:tcPr>
            <w:tcW w:w="1260" w:type="dxa"/>
          </w:tcPr>
          <w:p w14:paraId="683BD0E6" w14:textId="77777777" w:rsidR="005506E1" w:rsidRPr="00FC2380" w:rsidRDefault="005506E1" w:rsidP="00855140">
            <w:pPr>
              <w:spacing w:before="60" w:after="60"/>
              <w:jc w:val="center"/>
              <w:rPr>
                <w:sz w:val="20"/>
                <w:szCs w:val="20"/>
              </w:rPr>
            </w:pPr>
            <w:r w:rsidRPr="00FC2380">
              <w:rPr>
                <w:sz w:val="20"/>
                <w:szCs w:val="20"/>
              </w:rPr>
              <w:t>Statewide</w:t>
            </w:r>
          </w:p>
        </w:tc>
        <w:tc>
          <w:tcPr>
            <w:tcW w:w="1170" w:type="dxa"/>
          </w:tcPr>
          <w:p w14:paraId="59CA0728" w14:textId="77777777" w:rsidR="005506E1" w:rsidRPr="00FC2380" w:rsidRDefault="005506E1" w:rsidP="00855140">
            <w:pPr>
              <w:spacing w:before="60" w:after="60"/>
              <w:jc w:val="right"/>
              <w:rPr>
                <w:sz w:val="20"/>
                <w:szCs w:val="20"/>
              </w:rPr>
            </w:pPr>
            <w:r w:rsidRPr="00FC2380">
              <w:rPr>
                <w:sz w:val="20"/>
                <w:szCs w:val="20"/>
              </w:rPr>
              <w:t>$14,694</w:t>
            </w:r>
          </w:p>
        </w:tc>
        <w:tc>
          <w:tcPr>
            <w:tcW w:w="1620" w:type="dxa"/>
          </w:tcPr>
          <w:p w14:paraId="3681702F" w14:textId="77777777" w:rsidR="005506E1" w:rsidRPr="00FC2380" w:rsidRDefault="005506E1" w:rsidP="00855140">
            <w:pPr>
              <w:spacing w:before="60" w:after="60"/>
              <w:rPr>
                <w:sz w:val="20"/>
                <w:szCs w:val="20"/>
              </w:rPr>
            </w:pPr>
            <w:r w:rsidRPr="00FC2380">
              <w:rPr>
                <w:sz w:val="20"/>
                <w:szCs w:val="20"/>
              </w:rPr>
              <w:t>Herkimer Arc</w:t>
            </w:r>
          </w:p>
        </w:tc>
        <w:tc>
          <w:tcPr>
            <w:tcW w:w="1080" w:type="dxa"/>
          </w:tcPr>
          <w:p w14:paraId="1EB98F12" w14:textId="77777777" w:rsidR="005506E1" w:rsidRPr="00FB49A7" w:rsidRDefault="005506E1" w:rsidP="00855140">
            <w:pPr>
              <w:spacing w:before="60" w:after="60"/>
              <w:jc w:val="center"/>
              <w:rPr>
                <w:color w:val="000000" w:themeColor="text1"/>
                <w:sz w:val="20"/>
                <w:szCs w:val="20"/>
              </w:rPr>
            </w:pPr>
            <w:r w:rsidRPr="00FB49A7">
              <w:rPr>
                <w:color w:val="000000" w:themeColor="text1"/>
                <w:sz w:val="20"/>
                <w:szCs w:val="20"/>
              </w:rPr>
              <w:t>.02</w:t>
            </w:r>
          </w:p>
        </w:tc>
        <w:tc>
          <w:tcPr>
            <w:tcW w:w="1350" w:type="dxa"/>
          </w:tcPr>
          <w:p w14:paraId="4FB270C4" w14:textId="77777777" w:rsidR="005506E1" w:rsidRPr="00FB49A7" w:rsidRDefault="005506E1" w:rsidP="00855140">
            <w:pPr>
              <w:spacing w:before="60" w:after="60"/>
              <w:jc w:val="center"/>
              <w:rPr>
                <w:color w:val="000000" w:themeColor="text1"/>
                <w:sz w:val="20"/>
                <w:szCs w:val="20"/>
              </w:rPr>
            </w:pPr>
            <w:r w:rsidRPr="00FB49A7">
              <w:rPr>
                <w:color w:val="000000" w:themeColor="text1"/>
                <w:sz w:val="20"/>
                <w:szCs w:val="20"/>
              </w:rPr>
              <w:t>.02</w:t>
            </w:r>
          </w:p>
        </w:tc>
        <w:tc>
          <w:tcPr>
            <w:tcW w:w="1080" w:type="dxa"/>
          </w:tcPr>
          <w:p w14:paraId="0B9CF722" w14:textId="77777777" w:rsidR="005506E1" w:rsidRPr="00FB49A7" w:rsidRDefault="00FB49A7" w:rsidP="00855140">
            <w:pPr>
              <w:spacing w:before="60" w:after="60"/>
              <w:jc w:val="center"/>
              <w:rPr>
                <w:color w:val="000000" w:themeColor="text1"/>
                <w:sz w:val="20"/>
                <w:szCs w:val="20"/>
              </w:rPr>
            </w:pPr>
            <w:r w:rsidRPr="00FB49A7">
              <w:rPr>
                <w:color w:val="000000" w:themeColor="text1"/>
                <w:sz w:val="20"/>
                <w:szCs w:val="20"/>
              </w:rPr>
              <w:t>3/8/13</w:t>
            </w:r>
          </w:p>
        </w:tc>
      </w:tr>
      <w:tr w:rsidR="00FC2380" w:rsidRPr="00AB0745" w14:paraId="22405A97" w14:textId="77777777" w:rsidTr="00FB49A7">
        <w:tc>
          <w:tcPr>
            <w:tcW w:w="1170" w:type="dxa"/>
          </w:tcPr>
          <w:p w14:paraId="5DFF68F4" w14:textId="77777777" w:rsidR="005506E1" w:rsidRPr="00FC2380" w:rsidRDefault="005506E1" w:rsidP="005506E1">
            <w:pPr>
              <w:spacing w:before="120" w:after="120"/>
              <w:jc w:val="center"/>
              <w:rPr>
                <w:sz w:val="20"/>
                <w:szCs w:val="20"/>
              </w:rPr>
            </w:pPr>
            <w:r w:rsidRPr="00FC2380">
              <w:rPr>
                <w:sz w:val="20"/>
                <w:szCs w:val="20"/>
              </w:rPr>
              <w:t>1028-C</w:t>
            </w:r>
          </w:p>
        </w:tc>
        <w:tc>
          <w:tcPr>
            <w:tcW w:w="4410" w:type="dxa"/>
          </w:tcPr>
          <w:p w14:paraId="2A6A46F0" w14:textId="77777777" w:rsidR="005506E1" w:rsidRPr="00FC2380" w:rsidRDefault="005506E1" w:rsidP="005506E1">
            <w:pPr>
              <w:spacing w:before="120" w:after="120"/>
              <w:rPr>
                <w:sz w:val="20"/>
                <w:szCs w:val="20"/>
              </w:rPr>
            </w:pPr>
            <w:r w:rsidRPr="00FC2380">
              <w:rPr>
                <w:sz w:val="20"/>
                <w:szCs w:val="20"/>
              </w:rPr>
              <w:t>Protective Ear Muffs, NRR 31, Style PM5010 PYRAMEX</w:t>
            </w:r>
          </w:p>
        </w:tc>
        <w:tc>
          <w:tcPr>
            <w:tcW w:w="1080" w:type="dxa"/>
          </w:tcPr>
          <w:p w14:paraId="4A30270D" w14:textId="77777777" w:rsidR="005506E1" w:rsidRPr="00FC2380" w:rsidRDefault="005506E1" w:rsidP="005506E1">
            <w:pPr>
              <w:spacing w:before="120"/>
              <w:jc w:val="center"/>
              <w:rPr>
                <w:sz w:val="20"/>
                <w:szCs w:val="20"/>
              </w:rPr>
            </w:pPr>
            <w:r w:rsidRPr="00FC2380">
              <w:rPr>
                <w:sz w:val="20"/>
                <w:szCs w:val="20"/>
              </w:rPr>
              <w:t>New</w:t>
            </w:r>
          </w:p>
        </w:tc>
        <w:tc>
          <w:tcPr>
            <w:tcW w:w="1260" w:type="dxa"/>
          </w:tcPr>
          <w:p w14:paraId="3456EA9A" w14:textId="77777777" w:rsidR="005506E1" w:rsidRPr="00FC2380" w:rsidRDefault="005506E1" w:rsidP="005506E1">
            <w:pPr>
              <w:spacing w:before="120"/>
              <w:jc w:val="center"/>
              <w:rPr>
                <w:sz w:val="20"/>
                <w:szCs w:val="20"/>
              </w:rPr>
            </w:pPr>
            <w:r w:rsidRPr="00FC2380">
              <w:rPr>
                <w:sz w:val="20"/>
                <w:szCs w:val="20"/>
              </w:rPr>
              <w:t>Statewide</w:t>
            </w:r>
          </w:p>
        </w:tc>
        <w:tc>
          <w:tcPr>
            <w:tcW w:w="1170" w:type="dxa"/>
          </w:tcPr>
          <w:p w14:paraId="0572D75D" w14:textId="77777777" w:rsidR="005506E1" w:rsidRPr="00FC2380" w:rsidRDefault="005506E1" w:rsidP="00FC2380">
            <w:pPr>
              <w:spacing w:before="120"/>
              <w:jc w:val="right"/>
              <w:rPr>
                <w:sz w:val="20"/>
                <w:szCs w:val="20"/>
              </w:rPr>
            </w:pPr>
            <w:r w:rsidRPr="00FC2380">
              <w:rPr>
                <w:sz w:val="20"/>
                <w:szCs w:val="20"/>
              </w:rPr>
              <w:t>$14,068</w:t>
            </w:r>
          </w:p>
        </w:tc>
        <w:tc>
          <w:tcPr>
            <w:tcW w:w="1620" w:type="dxa"/>
          </w:tcPr>
          <w:p w14:paraId="21BCADDB" w14:textId="77777777" w:rsidR="005506E1" w:rsidRPr="00FC2380" w:rsidRDefault="005506E1" w:rsidP="005506E1">
            <w:pPr>
              <w:spacing w:before="120"/>
              <w:rPr>
                <w:sz w:val="20"/>
                <w:szCs w:val="20"/>
              </w:rPr>
            </w:pPr>
            <w:r w:rsidRPr="00FC2380">
              <w:rPr>
                <w:sz w:val="20"/>
                <w:szCs w:val="20"/>
              </w:rPr>
              <w:t>Herkimer Arc</w:t>
            </w:r>
          </w:p>
        </w:tc>
        <w:tc>
          <w:tcPr>
            <w:tcW w:w="1080" w:type="dxa"/>
          </w:tcPr>
          <w:p w14:paraId="5E665E55" w14:textId="77777777" w:rsidR="005506E1" w:rsidRPr="00FB49A7" w:rsidRDefault="005506E1" w:rsidP="005506E1">
            <w:pPr>
              <w:spacing w:before="120"/>
              <w:jc w:val="center"/>
              <w:rPr>
                <w:color w:val="000000" w:themeColor="text1"/>
                <w:sz w:val="20"/>
                <w:szCs w:val="20"/>
              </w:rPr>
            </w:pPr>
            <w:r w:rsidRPr="00FB49A7">
              <w:rPr>
                <w:color w:val="000000" w:themeColor="text1"/>
                <w:sz w:val="20"/>
                <w:szCs w:val="20"/>
              </w:rPr>
              <w:t>.016</w:t>
            </w:r>
          </w:p>
        </w:tc>
        <w:tc>
          <w:tcPr>
            <w:tcW w:w="1350" w:type="dxa"/>
          </w:tcPr>
          <w:p w14:paraId="183DD06D" w14:textId="77777777" w:rsidR="005506E1" w:rsidRPr="00FB49A7" w:rsidRDefault="005506E1" w:rsidP="005506E1">
            <w:pPr>
              <w:spacing w:before="120"/>
              <w:jc w:val="center"/>
              <w:rPr>
                <w:color w:val="000000" w:themeColor="text1"/>
                <w:sz w:val="20"/>
                <w:szCs w:val="20"/>
              </w:rPr>
            </w:pPr>
            <w:r w:rsidRPr="00FB49A7">
              <w:rPr>
                <w:color w:val="000000" w:themeColor="text1"/>
                <w:sz w:val="20"/>
                <w:szCs w:val="20"/>
              </w:rPr>
              <w:t>.016</w:t>
            </w:r>
          </w:p>
        </w:tc>
        <w:tc>
          <w:tcPr>
            <w:tcW w:w="1080" w:type="dxa"/>
          </w:tcPr>
          <w:p w14:paraId="1671AE81" w14:textId="77777777" w:rsidR="005506E1" w:rsidRPr="00FB49A7" w:rsidRDefault="00FB49A7" w:rsidP="005506E1">
            <w:pPr>
              <w:spacing w:before="120"/>
              <w:jc w:val="center"/>
              <w:rPr>
                <w:color w:val="000000" w:themeColor="text1"/>
                <w:sz w:val="20"/>
                <w:szCs w:val="20"/>
              </w:rPr>
            </w:pPr>
            <w:r w:rsidRPr="00FB49A7">
              <w:rPr>
                <w:color w:val="000000" w:themeColor="text1"/>
                <w:sz w:val="20"/>
                <w:szCs w:val="20"/>
              </w:rPr>
              <w:t>3/8</w:t>
            </w:r>
            <w:r w:rsidR="005506E1" w:rsidRPr="00FB49A7">
              <w:rPr>
                <w:color w:val="000000" w:themeColor="text1"/>
                <w:sz w:val="20"/>
                <w:szCs w:val="20"/>
              </w:rPr>
              <w:t>/13</w:t>
            </w:r>
          </w:p>
        </w:tc>
      </w:tr>
      <w:tr w:rsidR="005506E1" w:rsidRPr="00AB0745" w14:paraId="4651CB1E" w14:textId="77777777" w:rsidTr="00FB49A7">
        <w:tc>
          <w:tcPr>
            <w:tcW w:w="1170" w:type="dxa"/>
          </w:tcPr>
          <w:p w14:paraId="19E01086" w14:textId="77777777" w:rsidR="005506E1" w:rsidRPr="00FB49A7" w:rsidRDefault="000B5644" w:rsidP="00FB49A7">
            <w:pPr>
              <w:spacing w:before="120" w:after="120"/>
              <w:jc w:val="center"/>
              <w:rPr>
                <w:color w:val="000000" w:themeColor="text1"/>
                <w:sz w:val="20"/>
                <w:szCs w:val="20"/>
              </w:rPr>
            </w:pPr>
            <w:r w:rsidRPr="00FB49A7">
              <w:rPr>
                <w:sz w:val="20"/>
                <w:szCs w:val="20"/>
              </w:rPr>
              <w:t>1029-C</w:t>
            </w:r>
          </w:p>
        </w:tc>
        <w:tc>
          <w:tcPr>
            <w:tcW w:w="4410" w:type="dxa"/>
          </w:tcPr>
          <w:p w14:paraId="43E6AAF6" w14:textId="77777777" w:rsidR="005506E1" w:rsidRPr="00FB49A7" w:rsidRDefault="005506E1" w:rsidP="00855140">
            <w:pPr>
              <w:spacing w:before="60" w:after="60"/>
              <w:rPr>
                <w:color w:val="000000" w:themeColor="text1"/>
                <w:sz w:val="20"/>
                <w:szCs w:val="20"/>
              </w:rPr>
            </w:pPr>
            <w:r w:rsidRPr="00FB49A7">
              <w:rPr>
                <w:color w:val="000000" w:themeColor="text1"/>
                <w:sz w:val="20"/>
                <w:szCs w:val="20"/>
              </w:rPr>
              <w:t>Hard Hat Bracket for CMT-26 Ear Muffs</w:t>
            </w:r>
          </w:p>
        </w:tc>
        <w:tc>
          <w:tcPr>
            <w:tcW w:w="1080" w:type="dxa"/>
          </w:tcPr>
          <w:p w14:paraId="033987BF" w14:textId="77777777" w:rsidR="005506E1" w:rsidRPr="00FC2380" w:rsidRDefault="005506E1" w:rsidP="00855140">
            <w:pPr>
              <w:spacing w:before="60" w:after="60"/>
              <w:jc w:val="center"/>
              <w:rPr>
                <w:sz w:val="20"/>
                <w:szCs w:val="20"/>
              </w:rPr>
            </w:pPr>
            <w:r w:rsidRPr="00FC2380">
              <w:rPr>
                <w:sz w:val="20"/>
                <w:szCs w:val="20"/>
              </w:rPr>
              <w:t>New</w:t>
            </w:r>
          </w:p>
        </w:tc>
        <w:tc>
          <w:tcPr>
            <w:tcW w:w="1260" w:type="dxa"/>
          </w:tcPr>
          <w:p w14:paraId="51195ED6" w14:textId="77777777" w:rsidR="005506E1" w:rsidRPr="00FC2380" w:rsidRDefault="005506E1" w:rsidP="00855140">
            <w:pPr>
              <w:spacing w:before="60" w:after="60"/>
              <w:jc w:val="center"/>
              <w:rPr>
                <w:sz w:val="20"/>
                <w:szCs w:val="20"/>
              </w:rPr>
            </w:pPr>
            <w:r w:rsidRPr="00FC2380">
              <w:rPr>
                <w:sz w:val="20"/>
                <w:szCs w:val="20"/>
              </w:rPr>
              <w:t>Statewide</w:t>
            </w:r>
          </w:p>
        </w:tc>
        <w:tc>
          <w:tcPr>
            <w:tcW w:w="1170" w:type="dxa"/>
          </w:tcPr>
          <w:p w14:paraId="55581747" w14:textId="77777777" w:rsidR="005506E1" w:rsidRPr="00FC2380" w:rsidRDefault="005506E1" w:rsidP="00855140">
            <w:pPr>
              <w:spacing w:before="60" w:after="60"/>
              <w:jc w:val="right"/>
              <w:rPr>
                <w:sz w:val="20"/>
                <w:szCs w:val="20"/>
              </w:rPr>
            </w:pPr>
            <w:r w:rsidRPr="00FC2380">
              <w:rPr>
                <w:sz w:val="20"/>
                <w:szCs w:val="20"/>
              </w:rPr>
              <w:t>$11,847</w:t>
            </w:r>
          </w:p>
        </w:tc>
        <w:tc>
          <w:tcPr>
            <w:tcW w:w="1620" w:type="dxa"/>
          </w:tcPr>
          <w:p w14:paraId="2F81DFFA" w14:textId="77777777" w:rsidR="005506E1" w:rsidRPr="00FC2380" w:rsidRDefault="005506E1" w:rsidP="00855140">
            <w:pPr>
              <w:spacing w:before="60" w:after="60"/>
              <w:rPr>
                <w:sz w:val="20"/>
                <w:szCs w:val="20"/>
              </w:rPr>
            </w:pPr>
            <w:r w:rsidRPr="00FC2380">
              <w:rPr>
                <w:sz w:val="20"/>
                <w:szCs w:val="20"/>
              </w:rPr>
              <w:t>Herkimer Arc</w:t>
            </w:r>
          </w:p>
        </w:tc>
        <w:tc>
          <w:tcPr>
            <w:tcW w:w="1080" w:type="dxa"/>
          </w:tcPr>
          <w:p w14:paraId="247A43DA" w14:textId="77777777" w:rsidR="005506E1" w:rsidRPr="00FB49A7" w:rsidRDefault="00DA7395" w:rsidP="00855140">
            <w:pPr>
              <w:spacing w:before="60" w:after="60"/>
              <w:jc w:val="center"/>
              <w:rPr>
                <w:color w:val="000000" w:themeColor="text1"/>
                <w:sz w:val="20"/>
                <w:szCs w:val="20"/>
              </w:rPr>
            </w:pPr>
            <w:r w:rsidRPr="00FB49A7">
              <w:rPr>
                <w:color w:val="000000" w:themeColor="text1"/>
                <w:sz w:val="20"/>
                <w:szCs w:val="20"/>
              </w:rPr>
              <w:t>.3</w:t>
            </w:r>
          </w:p>
        </w:tc>
        <w:tc>
          <w:tcPr>
            <w:tcW w:w="1350" w:type="dxa"/>
          </w:tcPr>
          <w:p w14:paraId="0189C75C" w14:textId="77777777" w:rsidR="005506E1" w:rsidRPr="00FB49A7" w:rsidRDefault="00DA7395" w:rsidP="00855140">
            <w:pPr>
              <w:spacing w:before="60" w:after="60"/>
              <w:jc w:val="center"/>
              <w:rPr>
                <w:color w:val="000000" w:themeColor="text1"/>
                <w:sz w:val="20"/>
                <w:szCs w:val="20"/>
              </w:rPr>
            </w:pPr>
            <w:r w:rsidRPr="00FB49A7">
              <w:rPr>
                <w:color w:val="000000" w:themeColor="text1"/>
                <w:sz w:val="20"/>
                <w:szCs w:val="20"/>
              </w:rPr>
              <w:t>.3</w:t>
            </w:r>
          </w:p>
        </w:tc>
        <w:tc>
          <w:tcPr>
            <w:tcW w:w="1080" w:type="dxa"/>
          </w:tcPr>
          <w:p w14:paraId="1DB1BAA3" w14:textId="77777777" w:rsidR="005506E1" w:rsidRPr="00FB49A7" w:rsidRDefault="00FB49A7" w:rsidP="00855140">
            <w:pPr>
              <w:spacing w:before="60" w:after="60"/>
              <w:jc w:val="center"/>
              <w:rPr>
                <w:color w:val="000000" w:themeColor="text1"/>
                <w:sz w:val="20"/>
                <w:szCs w:val="20"/>
              </w:rPr>
            </w:pPr>
            <w:r w:rsidRPr="00FB49A7">
              <w:rPr>
                <w:color w:val="000000" w:themeColor="text1"/>
                <w:sz w:val="20"/>
                <w:szCs w:val="20"/>
              </w:rPr>
              <w:t>3/8</w:t>
            </w:r>
            <w:r w:rsidR="005506E1" w:rsidRPr="00FB49A7">
              <w:rPr>
                <w:color w:val="000000" w:themeColor="text1"/>
                <w:sz w:val="20"/>
                <w:szCs w:val="20"/>
              </w:rPr>
              <w:t>/13</w:t>
            </w:r>
          </w:p>
        </w:tc>
      </w:tr>
      <w:tr w:rsidR="00FC2380" w:rsidRPr="00AB0745" w14:paraId="6EA20267" w14:textId="77777777" w:rsidTr="00FB49A7">
        <w:tc>
          <w:tcPr>
            <w:tcW w:w="1170" w:type="dxa"/>
          </w:tcPr>
          <w:p w14:paraId="4AEA2350" w14:textId="77777777" w:rsidR="00FC2380" w:rsidRPr="00FC2380" w:rsidRDefault="00FC2380" w:rsidP="00855140">
            <w:pPr>
              <w:spacing w:before="60" w:after="60"/>
              <w:jc w:val="center"/>
              <w:rPr>
                <w:sz w:val="20"/>
                <w:szCs w:val="20"/>
              </w:rPr>
            </w:pPr>
            <w:r>
              <w:rPr>
                <w:sz w:val="20"/>
                <w:szCs w:val="20"/>
              </w:rPr>
              <w:t>1041-C</w:t>
            </w:r>
          </w:p>
        </w:tc>
        <w:tc>
          <w:tcPr>
            <w:tcW w:w="4410" w:type="dxa"/>
          </w:tcPr>
          <w:p w14:paraId="13599B51" w14:textId="77777777" w:rsidR="00FC2380" w:rsidRPr="00FC2380" w:rsidRDefault="00FC2380" w:rsidP="00855140">
            <w:pPr>
              <w:spacing w:before="60" w:after="60"/>
              <w:rPr>
                <w:sz w:val="20"/>
                <w:szCs w:val="20"/>
              </w:rPr>
            </w:pPr>
            <w:r>
              <w:rPr>
                <w:sz w:val="20"/>
                <w:szCs w:val="20"/>
              </w:rPr>
              <w:t>Baby Wipes</w:t>
            </w:r>
          </w:p>
        </w:tc>
        <w:tc>
          <w:tcPr>
            <w:tcW w:w="1080" w:type="dxa"/>
          </w:tcPr>
          <w:p w14:paraId="6FA83170" w14:textId="77777777" w:rsidR="00FC2380" w:rsidRPr="00FC2380" w:rsidRDefault="00FC2380" w:rsidP="00855140">
            <w:pPr>
              <w:spacing w:before="60" w:after="60"/>
              <w:jc w:val="center"/>
              <w:rPr>
                <w:sz w:val="20"/>
                <w:szCs w:val="20"/>
              </w:rPr>
            </w:pPr>
            <w:r>
              <w:rPr>
                <w:sz w:val="20"/>
                <w:szCs w:val="20"/>
              </w:rPr>
              <w:t>New</w:t>
            </w:r>
          </w:p>
        </w:tc>
        <w:tc>
          <w:tcPr>
            <w:tcW w:w="1260" w:type="dxa"/>
          </w:tcPr>
          <w:p w14:paraId="227D8CAD" w14:textId="77777777" w:rsidR="00FC2380" w:rsidRPr="00FC2380" w:rsidRDefault="00FC2380" w:rsidP="00855140">
            <w:pPr>
              <w:spacing w:before="60" w:after="60"/>
              <w:jc w:val="center"/>
              <w:rPr>
                <w:sz w:val="20"/>
                <w:szCs w:val="20"/>
              </w:rPr>
            </w:pPr>
            <w:r>
              <w:rPr>
                <w:sz w:val="20"/>
                <w:szCs w:val="20"/>
              </w:rPr>
              <w:t>Statewide</w:t>
            </w:r>
          </w:p>
        </w:tc>
        <w:tc>
          <w:tcPr>
            <w:tcW w:w="1170" w:type="dxa"/>
          </w:tcPr>
          <w:p w14:paraId="458A8D68" w14:textId="77777777" w:rsidR="00FC2380" w:rsidRPr="00FC2380" w:rsidRDefault="00FC2380" w:rsidP="00855140">
            <w:pPr>
              <w:spacing w:before="60" w:after="60"/>
              <w:jc w:val="right"/>
              <w:rPr>
                <w:sz w:val="20"/>
                <w:szCs w:val="20"/>
              </w:rPr>
            </w:pPr>
            <w:r>
              <w:rPr>
                <w:sz w:val="20"/>
                <w:szCs w:val="20"/>
              </w:rPr>
              <w:t>$30,000</w:t>
            </w:r>
          </w:p>
        </w:tc>
        <w:tc>
          <w:tcPr>
            <w:tcW w:w="1620" w:type="dxa"/>
          </w:tcPr>
          <w:p w14:paraId="6F5FB056" w14:textId="77777777" w:rsidR="00FC2380" w:rsidRPr="00FC2380" w:rsidRDefault="00FC2380" w:rsidP="00855140">
            <w:pPr>
              <w:spacing w:before="60" w:after="60"/>
              <w:rPr>
                <w:sz w:val="20"/>
                <w:szCs w:val="20"/>
              </w:rPr>
            </w:pPr>
            <w:r>
              <w:rPr>
                <w:sz w:val="20"/>
                <w:szCs w:val="20"/>
              </w:rPr>
              <w:t>The ARC Otsego</w:t>
            </w:r>
          </w:p>
        </w:tc>
        <w:tc>
          <w:tcPr>
            <w:tcW w:w="1080" w:type="dxa"/>
          </w:tcPr>
          <w:p w14:paraId="44FCC01D" w14:textId="77777777" w:rsidR="00FC2380" w:rsidRPr="00FB49A7" w:rsidRDefault="00DA7395" w:rsidP="00855140">
            <w:pPr>
              <w:spacing w:before="60" w:after="60"/>
              <w:jc w:val="center"/>
              <w:rPr>
                <w:color w:val="000000" w:themeColor="text1"/>
                <w:sz w:val="20"/>
                <w:szCs w:val="20"/>
              </w:rPr>
            </w:pPr>
            <w:r w:rsidRPr="00FB49A7">
              <w:rPr>
                <w:color w:val="000000" w:themeColor="text1"/>
                <w:sz w:val="20"/>
                <w:szCs w:val="20"/>
              </w:rPr>
              <w:t>.01</w:t>
            </w:r>
          </w:p>
        </w:tc>
        <w:tc>
          <w:tcPr>
            <w:tcW w:w="1350" w:type="dxa"/>
          </w:tcPr>
          <w:p w14:paraId="2F62EF87" w14:textId="77777777" w:rsidR="00FC2380" w:rsidRPr="00FB49A7" w:rsidRDefault="00DA7395" w:rsidP="00855140">
            <w:pPr>
              <w:spacing w:before="60" w:after="60"/>
              <w:jc w:val="center"/>
              <w:rPr>
                <w:color w:val="000000" w:themeColor="text1"/>
                <w:sz w:val="20"/>
                <w:szCs w:val="20"/>
              </w:rPr>
            </w:pPr>
            <w:r w:rsidRPr="00FB49A7">
              <w:rPr>
                <w:color w:val="000000" w:themeColor="text1"/>
                <w:sz w:val="20"/>
                <w:szCs w:val="20"/>
              </w:rPr>
              <w:t>.01</w:t>
            </w:r>
          </w:p>
        </w:tc>
        <w:tc>
          <w:tcPr>
            <w:tcW w:w="1080" w:type="dxa"/>
          </w:tcPr>
          <w:p w14:paraId="018BE377" w14:textId="77777777" w:rsidR="00FC2380" w:rsidRPr="00FB49A7" w:rsidRDefault="00FB49A7" w:rsidP="00855140">
            <w:pPr>
              <w:spacing w:before="60" w:after="60"/>
              <w:jc w:val="center"/>
              <w:rPr>
                <w:color w:val="000000" w:themeColor="text1"/>
                <w:sz w:val="20"/>
                <w:szCs w:val="20"/>
              </w:rPr>
            </w:pPr>
            <w:r w:rsidRPr="00FB49A7">
              <w:rPr>
                <w:color w:val="000000" w:themeColor="text1"/>
                <w:sz w:val="20"/>
                <w:szCs w:val="20"/>
              </w:rPr>
              <w:t>7/3</w:t>
            </w:r>
            <w:r w:rsidR="00FC2380" w:rsidRPr="00FB49A7">
              <w:rPr>
                <w:color w:val="000000" w:themeColor="text1"/>
                <w:sz w:val="20"/>
                <w:szCs w:val="20"/>
              </w:rPr>
              <w:t>/13</w:t>
            </w:r>
          </w:p>
        </w:tc>
      </w:tr>
    </w:tbl>
    <w:p w14:paraId="58430FC5" w14:textId="77777777" w:rsidR="00C81EDE" w:rsidRPr="00FC2380" w:rsidRDefault="00C81EDE" w:rsidP="00EA5D12">
      <w:pPr>
        <w:rPr>
          <w:sz w:val="20"/>
          <w:szCs w:val="20"/>
        </w:rPr>
      </w:pPr>
    </w:p>
    <w:p w14:paraId="1FC0E298" w14:textId="77777777" w:rsidR="00004DAB" w:rsidRPr="00FC2380" w:rsidRDefault="00CC3FD8" w:rsidP="00855140">
      <w:pPr>
        <w:jc w:val="both"/>
        <w:rPr>
          <w:b/>
          <w:sz w:val="20"/>
          <w:szCs w:val="20"/>
        </w:rPr>
      </w:pPr>
      <w:r w:rsidRPr="00FC2380">
        <w:rPr>
          <w:b/>
          <w:sz w:val="20"/>
          <w:szCs w:val="20"/>
        </w:rPr>
        <w:t>B2913 Paper Napkins; Luncheon, White, 1 Ply</w:t>
      </w:r>
    </w:p>
    <w:p w14:paraId="45C19585" w14:textId="77777777" w:rsidR="00C42334" w:rsidRPr="00FC2380" w:rsidRDefault="00474ED6" w:rsidP="00855140">
      <w:pPr>
        <w:jc w:val="both"/>
        <w:rPr>
          <w:sz w:val="20"/>
          <w:szCs w:val="20"/>
        </w:rPr>
      </w:pPr>
      <w:r w:rsidRPr="00FC2380">
        <w:rPr>
          <w:sz w:val="20"/>
          <w:szCs w:val="20"/>
        </w:rPr>
        <w:t>Paper napkins will be used by various agencies</w:t>
      </w:r>
      <w:r w:rsidR="00DF076C" w:rsidRPr="00FC2380">
        <w:rPr>
          <w:sz w:val="20"/>
          <w:szCs w:val="20"/>
        </w:rPr>
        <w:t xml:space="preserve"> predominately those</w:t>
      </w:r>
      <w:r w:rsidRPr="00FC2380">
        <w:rPr>
          <w:sz w:val="20"/>
          <w:szCs w:val="20"/>
        </w:rPr>
        <w:t xml:space="preserve"> providing food service</w:t>
      </w:r>
      <w:r w:rsidR="00DF076C" w:rsidRPr="00FC2380">
        <w:rPr>
          <w:sz w:val="20"/>
          <w:szCs w:val="20"/>
        </w:rPr>
        <w:t>s</w:t>
      </w:r>
      <w:r w:rsidRPr="00FC2380">
        <w:rPr>
          <w:sz w:val="20"/>
          <w:szCs w:val="20"/>
        </w:rPr>
        <w:t xml:space="preserve">.  This product is produced from 100% total recovered fiber, 70% </w:t>
      </w:r>
      <w:proofErr w:type="spellStart"/>
      <w:r w:rsidRPr="00FC2380">
        <w:rPr>
          <w:sz w:val="20"/>
          <w:szCs w:val="20"/>
        </w:rPr>
        <w:t>post consumer</w:t>
      </w:r>
      <w:proofErr w:type="spellEnd"/>
      <w:r w:rsidRPr="00FC2380">
        <w:rPr>
          <w:sz w:val="20"/>
          <w:szCs w:val="20"/>
        </w:rPr>
        <w:t xml:space="preserve"> recovered fi</w:t>
      </w:r>
      <w:r w:rsidR="00DF076C" w:rsidRPr="00FC2380">
        <w:rPr>
          <w:sz w:val="20"/>
          <w:szCs w:val="20"/>
        </w:rPr>
        <w:t>b</w:t>
      </w:r>
      <w:r w:rsidRPr="00FC2380">
        <w:rPr>
          <w:sz w:val="20"/>
          <w:szCs w:val="20"/>
        </w:rPr>
        <w:t xml:space="preserve">er and </w:t>
      </w:r>
      <w:r w:rsidR="00DF076C" w:rsidRPr="00FC2380">
        <w:rPr>
          <w:sz w:val="20"/>
          <w:szCs w:val="20"/>
        </w:rPr>
        <w:t>is</w:t>
      </w:r>
      <w:r w:rsidRPr="00FC2380">
        <w:rPr>
          <w:sz w:val="20"/>
          <w:szCs w:val="20"/>
        </w:rPr>
        <w:t xml:space="preserve"> processed chlorine free.  </w:t>
      </w:r>
      <w:proofErr w:type="spellStart"/>
      <w:r w:rsidR="00DF076C" w:rsidRPr="00FC2380">
        <w:rPr>
          <w:sz w:val="20"/>
          <w:szCs w:val="20"/>
        </w:rPr>
        <w:t>Lifespire</w:t>
      </w:r>
      <w:proofErr w:type="spellEnd"/>
      <w:r w:rsidR="00DF076C" w:rsidRPr="00FC2380">
        <w:rPr>
          <w:sz w:val="20"/>
          <w:szCs w:val="20"/>
        </w:rPr>
        <w:t>, Inc. will</w:t>
      </w:r>
      <w:r w:rsidR="00761C2A" w:rsidRPr="00FC2380">
        <w:rPr>
          <w:sz w:val="20"/>
          <w:szCs w:val="20"/>
        </w:rPr>
        <w:t xml:space="preserve"> be the provider of this item </w:t>
      </w:r>
      <w:r w:rsidR="00806688" w:rsidRPr="00FC2380">
        <w:rPr>
          <w:sz w:val="20"/>
          <w:szCs w:val="20"/>
        </w:rPr>
        <w:t xml:space="preserve">which </w:t>
      </w:r>
      <w:r w:rsidR="00761C2A" w:rsidRPr="00FC2380">
        <w:rPr>
          <w:sz w:val="20"/>
          <w:szCs w:val="20"/>
        </w:rPr>
        <w:t xml:space="preserve">will be available </w:t>
      </w:r>
      <w:r w:rsidR="00806688" w:rsidRPr="00FC2380">
        <w:rPr>
          <w:sz w:val="20"/>
          <w:szCs w:val="20"/>
        </w:rPr>
        <w:t>to</w:t>
      </w:r>
      <w:r w:rsidR="00761C2A" w:rsidRPr="00FC2380">
        <w:rPr>
          <w:sz w:val="20"/>
          <w:szCs w:val="20"/>
        </w:rPr>
        <w:t xml:space="preserve"> all State Agencies</w:t>
      </w:r>
      <w:r w:rsidR="004D5468" w:rsidRPr="00FC2380">
        <w:rPr>
          <w:sz w:val="20"/>
          <w:szCs w:val="20"/>
        </w:rPr>
        <w:t xml:space="preserve">. </w:t>
      </w:r>
      <w:r w:rsidR="00171504" w:rsidRPr="00FC2380">
        <w:rPr>
          <w:sz w:val="20"/>
          <w:szCs w:val="20"/>
        </w:rPr>
        <w:t>Work for persons with disabilities</w:t>
      </w:r>
      <w:r w:rsidR="000B0D31" w:rsidRPr="00FC2380">
        <w:rPr>
          <w:sz w:val="20"/>
          <w:szCs w:val="20"/>
        </w:rPr>
        <w:t xml:space="preserve"> will</w:t>
      </w:r>
      <w:r w:rsidR="0039243B" w:rsidRPr="00FC2380">
        <w:rPr>
          <w:sz w:val="20"/>
          <w:szCs w:val="20"/>
        </w:rPr>
        <w:t xml:space="preserve"> include the following:</w:t>
      </w:r>
      <w:r w:rsidR="00000924" w:rsidRPr="00FC2380">
        <w:rPr>
          <w:sz w:val="20"/>
          <w:szCs w:val="20"/>
        </w:rPr>
        <w:t xml:space="preserve">  </w:t>
      </w:r>
      <w:r w:rsidR="00DF076C" w:rsidRPr="00FC2380">
        <w:rPr>
          <w:sz w:val="20"/>
          <w:szCs w:val="20"/>
        </w:rPr>
        <w:t>Receiving product in bulk, 30 packs of paper napkins</w:t>
      </w:r>
      <w:r w:rsidR="00F0552A" w:rsidRPr="00FC2380">
        <w:rPr>
          <w:sz w:val="20"/>
          <w:szCs w:val="20"/>
        </w:rPr>
        <w:t>;</w:t>
      </w:r>
      <w:r w:rsidR="00DF076C" w:rsidRPr="00FC2380">
        <w:rPr>
          <w:sz w:val="20"/>
          <w:szCs w:val="20"/>
        </w:rPr>
        <w:t xml:space="preserve"> opening master carton and remove napkins; assemble a new master carton and place twelve (12) pre-counted 500 packs into carton</w:t>
      </w:r>
      <w:r w:rsidR="00F0552A" w:rsidRPr="00FC2380">
        <w:rPr>
          <w:sz w:val="20"/>
          <w:szCs w:val="20"/>
        </w:rPr>
        <w:t xml:space="preserve">, </w:t>
      </w:r>
      <w:r w:rsidR="00DF076C" w:rsidRPr="00FC2380">
        <w:rPr>
          <w:sz w:val="20"/>
          <w:szCs w:val="20"/>
        </w:rPr>
        <w:t>seal closed</w:t>
      </w:r>
      <w:r w:rsidR="00DA2F3D" w:rsidRPr="00FC2380">
        <w:rPr>
          <w:sz w:val="20"/>
          <w:szCs w:val="20"/>
        </w:rPr>
        <w:t xml:space="preserve"> and</w:t>
      </w:r>
      <w:r w:rsidR="00DF076C" w:rsidRPr="00FC2380">
        <w:rPr>
          <w:sz w:val="20"/>
          <w:szCs w:val="20"/>
        </w:rPr>
        <w:t xml:space="preserve"> label the carton on 4 sides.  </w:t>
      </w:r>
      <w:r w:rsidR="004E668A" w:rsidRPr="00FC2380">
        <w:rPr>
          <w:sz w:val="20"/>
          <w:szCs w:val="20"/>
        </w:rPr>
        <w:t>T</w:t>
      </w:r>
      <w:r w:rsidR="003350B5" w:rsidRPr="00FC2380">
        <w:rPr>
          <w:sz w:val="20"/>
          <w:szCs w:val="20"/>
        </w:rPr>
        <w:t>he raw material supplier</w:t>
      </w:r>
      <w:r w:rsidR="008814C5" w:rsidRPr="00FC2380">
        <w:rPr>
          <w:sz w:val="20"/>
          <w:szCs w:val="20"/>
        </w:rPr>
        <w:t xml:space="preserve"> for this item </w:t>
      </w:r>
      <w:r w:rsidR="004E668A" w:rsidRPr="00FC2380">
        <w:rPr>
          <w:sz w:val="20"/>
          <w:szCs w:val="20"/>
        </w:rPr>
        <w:t xml:space="preserve">is </w:t>
      </w:r>
      <w:r w:rsidR="00DF076C" w:rsidRPr="00FC2380">
        <w:rPr>
          <w:sz w:val="20"/>
          <w:szCs w:val="20"/>
        </w:rPr>
        <w:t xml:space="preserve">South Florida Tissue Paper Co., Inc. located in Miami, Florida. </w:t>
      </w:r>
      <w:r w:rsidR="008814C5" w:rsidRPr="00FC2380">
        <w:rPr>
          <w:sz w:val="20"/>
          <w:szCs w:val="20"/>
        </w:rPr>
        <w:t xml:space="preserve"> </w:t>
      </w:r>
      <w:r w:rsidR="003350B5" w:rsidRPr="00FC2380">
        <w:rPr>
          <w:sz w:val="20"/>
          <w:szCs w:val="20"/>
        </w:rPr>
        <w:t xml:space="preserve">It is anticipated that this commodity will provide jobs for </w:t>
      </w:r>
      <w:r w:rsidR="00DA2F3D" w:rsidRPr="00FC2380">
        <w:rPr>
          <w:sz w:val="20"/>
          <w:szCs w:val="20"/>
        </w:rPr>
        <w:t>2-3 individuals with disabilities and estimated annual sales volume is $74,000.00.</w:t>
      </w:r>
    </w:p>
    <w:p w14:paraId="2E91E0EA" w14:textId="77777777" w:rsidR="00DA2F3D" w:rsidRPr="00FC2380" w:rsidRDefault="00DA2F3D" w:rsidP="00855140">
      <w:pPr>
        <w:jc w:val="both"/>
        <w:rPr>
          <w:sz w:val="20"/>
          <w:szCs w:val="20"/>
        </w:rPr>
      </w:pPr>
    </w:p>
    <w:p w14:paraId="2D6E436E" w14:textId="77777777" w:rsidR="00DA2F3D" w:rsidRPr="00FC2380" w:rsidRDefault="00DA2F3D" w:rsidP="00855140">
      <w:pPr>
        <w:jc w:val="both"/>
        <w:rPr>
          <w:b/>
          <w:sz w:val="20"/>
          <w:szCs w:val="20"/>
        </w:rPr>
      </w:pPr>
      <w:r w:rsidRPr="00FC2380">
        <w:rPr>
          <w:b/>
          <w:sz w:val="20"/>
          <w:szCs w:val="20"/>
        </w:rPr>
        <w:t>A1581 Cap Mounted Ear Muffs style CMT-26</w:t>
      </w:r>
    </w:p>
    <w:p w14:paraId="7A1DA54E" w14:textId="77777777" w:rsidR="00C81EDE" w:rsidRPr="00FC2380" w:rsidRDefault="00C81EDE" w:rsidP="00855140">
      <w:pPr>
        <w:jc w:val="both"/>
        <w:rPr>
          <w:sz w:val="20"/>
          <w:szCs w:val="20"/>
        </w:rPr>
      </w:pPr>
      <w:r w:rsidRPr="00FC2380">
        <w:rPr>
          <w:sz w:val="20"/>
          <w:szCs w:val="20"/>
        </w:rPr>
        <w:t>These Cap Mounted Ear Muffs</w:t>
      </w:r>
      <w:r w:rsidR="00F03325" w:rsidRPr="00FC2380">
        <w:rPr>
          <w:sz w:val="20"/>
          <w:szCs w:val="20"/>
        </w:rPr>
        <w:t xml:space="preserve"> offer hearing protection for workers who wear a hard hat.  They </w:t>
      </w:r>
      <w:r w:rsidRPr="00FC2380">
        <w:rPr>
          <w:sz w:val="20"/>
          <w:szCs w:val="20"/>
        </w:rPr>
        <w:t>have a universal design that fits virtually all slotted hardhats</w:t>
      </w:r>
      <w:r w:rsidR="00F03325" w:rsidRPr="00FC2380">
        <w:rPr>
          <w:sz w:val="20"/>
          <w:szCs w:val="20"/>
        </w:rPr>
        <w:t>, includes an</w:t>
      </w:r>
      <w:r w:rsidRPr="00FC2380">
        <w:rPr>
          <w:sz w:val="20"/>
          <w:szCs w:val="20"/>
        </w:rPr>
        <w:t xml:space="preserve"> adjustable headband with side wire guides</w:t>
      </w:r>
      <w:r w:rsidR="00F03325" w:rsidRPr="00FC2380">
        <w:rPr>
          <w:sz w:val="20"/>
          <w:szCs w:val="20"/>
        </w:rPr>
        <w:t>,</w:t>
      </w:r>
      <w:r w:rsidRPr="00FC2380">
        <w:rPr>
          <w:sz w:val="20"/>
          <w:szCs w:val="20"/>
        </w:rPr>
        <w:t xml:space="preserve"> soft foam padded ear cups</w:t>
      </w:r>
      <w:r w:rsidR="00F03325" w:rsidRPr="00FC2380">
        <w:rPr>
          <w:sz w:val="20"/>
          <w:szCs w:val="20"/>
        </w:rPr>
        <w:t>,</w:t>
      </w:r>
      <w:r w:rsidRPr="00FC2380">
        <w:rPr>
          <w:sz w:val="20"/>
          <w:szCs w:val="20"/>
        </w:rPr>
        <w:t xml:space="preserve"> NRR of 26dB</w:t>
      </w:r>
      <w:r w:rsidR="00F03325" w:rsidRPr="00FC2380">
        <w:rPr>
          <w:sz w:val="20"/>
          <w:szCs w:val="20"/>
        </w:rPr>
        <w:t xml:space="preserve"> and a slot to accept a (logger type) visor bracket.  Herkimer ARC will be the provider of this item which will be available to all State Agencies.  Work for persons with disabilities will include the following:  Removing 24 ear muffs from the master shipper</w:t>
      </w:r>
      <w:r w:rsidR="00F0552A" w:rsidRPr="00FC2380">
        <w:rPr>
          <w:sz w:val="20"/>
          <w:szCs w:val="20"/>
        </w:rPr>
        <w:t>;</w:t>
      </w:r>
      <w:r w:rsidR="00F03325" w:rsidRPr="00FC2380">
        <w:rPr>
          <w:sz w:val="20"/>
          <w:szCs w:val="20"/>
        </w:rPr>
        <w:t xml:space="preserve"> remove</w:t>
      </w:r>
      <w:r w:rsidR="004B48AA" w:rsidRPr="00FC2380">
        <w:rPr>
          <w:sz w:val="20"/>
          <w:szCs w:val="20"/>
        </w:rPr>
        <w:t xml:space="preserve"> plastic bag and rubber band from ear muffs</w:t>
      </w:r>
      <w:r w:rsidR="00F0552A" w:rsidRPr="00FC2380">
        <w:rPr>
          <w:sz w:val="20"/>
          <w:szCs w:val="20"/>
        </w:rPr>
        <w:t>;</w:t>
      </w:r>
      <w:r w:rsidR="004B48AA" w:rsidRPr="00FC2380">
        <w:rPr>
          <w:sz w:val="20"/>
          <w:szCs w:val="20"/>
        </w:rPr>
        <w:t xml:space="preserve"> make shipper, insert 6 ear muffs into NYSID shipper</w:t>
      </w:r>
      <w:r w:rsidR="00F0552A" w:rsidRPr="00FC2380">
        <w:rPr>
          <w:sz w:val="20"/>
          <w:szCs w:val="20"/>
        </w:rPr>
        <w:t>;</w:t>
      </w:r>
      <w:r w:rsidR="004B48AA" w:rsidRPr="00FC2380">
        <w:rPr>
          <w:sz w:val="20"/>
          <w:szCs w:val="20"/>
        </w:rPr>
        <w:t xml:space="preserve"> close and label shipper.  The raw material supplier for this item will be McQuade &amp; </w:t>
      </w:r>
      <w:proofErr w:type="spellStart"/>
      <w:r w:rsidR="004B48AA" w:rsidRPr="00FC2380">
        <w:rPr>
          <w:sz w:val="20"/>
          <w:szCs w:val="20"/>
        </w:rPr>
        <w:t>Bannigan</w:t>
      </w:r>
      <w:proofErr w:type="spellEnd"/>
      <w:r w:rsidR="004B48AA" w:rsidRPr="00FC2380">
        <w:rPr>
          <w:sz w:val="20"/>
          <w:szCs w:val="20"/>
        </w:rPr>
        <w:t xml:space="preserve">, Inc. located in </w:t>
      </w:r>
      <w:proofErr w:type="spellStart"/>
      <w:proofErr w:type="gramStart"/>
      <w:r w:rsidR="004B48AA" w:rsidRPr="00FC2380">
        <w:rPr>
          <w:sz w:val="20"/>
          <w:szCs w:val="20"/>
        </w:rPr>
        <w:t>E.Syracuse</w:t>
      </w:r>
      <w:proofErr w:type="spellEnd"/>
      <w:proofErr w:type="gramEnd"/>
      <w:r w:rsidR="004B48AA" w:rsidRPr="00FC2380">
        <w:rPr>
          <w:sz w:val="20"/>
          <w:szCs w:val="20"/>
        </w:rPr>
        <w:t>, New York.  It is anticipated that this commodity will provide a job for 1 disabled individual and the estimated sales volume is $14,694.00.</w:t>
      </w:r>
    </w:p>
    <w:p w14:paraId="5E5B9313" w14:textId="77777777" w:rsidR="00DA2F3D" w:rsidRPr="00FC2380" w:rsidRDefault="00DA2F3D" w:rsidP="00855140">
      <w:pPr>
        <w:jc w:val="both"/>
        <w:rPr>
          <w:b/>
          <w:sz w:val="20"/>
          <w:szCs w:val="20"/>
        </w:rPr>
      </w:pPr>
    </w:p>
    <w:p w14:paraId="7A2635E9" w14:textId="77777777" w:rsidR="00E12EDC" w:rsidRPr="00FC2380" w:rsidRDefault="00E12EDC" w:rsidP="00855140">
      <w:pPr>
        <w:jc w:val="both"/>
        <w:rPr>
          <w:b/>
          <w:sz w:val="20"/>
          <w:szCs w:val="20"/>
        </w:rPr>
      </w:pPr>
      <w:r w:rsidRPr="00FC2380">
        <w:rPr>
          <w:b/>
          <w:sz w:val="20"/>
          <w:szCs w:val="20"/>
        </w:rPr>
        <w:t>A1541 Protective Ear Muffs, NRR 31, Style PM5010-PYR</w:t>
      </w:r>
      <w:r w:rsidR="00A450AC" w:rsidRPr="00FC2380">
        <w:rPr>
          <w:b/>
          <w:sz w:val="20"/>
          <w:szCs w:val="20"/>
        </w:rPr>
        <w:t>AMEX</w:t>
      </w:r>
    </w:p>
    <w:p w14:paraId="26EF2F12" w14:textId="77777777" w:rsidR="00E12EDC" w:rsidRPr="00FC2380" w:rsidRDefault="00E12EDC" w:rsidP="00855140">
      <w:pPr>
        <w:jc w:val="both"/>
        <w:rPr>
          <w:sz w:val="20"/>
          <w:szCs w:val="20"/>
        </w:rPr>
      </w:pPr>
      <w:r w:rsidRPr="00FC2380">
        <w:rPr>
          <w:sz w:val="20"/>
          <w:szCs w:val="20"/>
        </w:rPr>
        <w:t>These ear muffs feature NRR 31 dB, low profile design, soft foam ear cups, individually packa</w:t>
      </w:r>
      <w:r w:rsidR="00AB0745" w:rsidRPr="00FC2380">
        <w:rPr>
          <w:sz w:val="20"/>
          <w:szCs w:val="20"/>
        </w:rPr>
        <w:t xml:space="preserve">ged fold-away padded headband, </w:t>
      </w:r>
      <w:r w:rsidRPr="00FC2380">
        <w:rPr>
          <w:sz w:val="20"/>
          <w:szCs w:val="20"/>
        </w:rPr>
        <w:t xml:space="preserve">adjustable to fit all sizes and </w:t>
      </w:r>
      <w:r w:rsidR="00AB0745" w:rsidRPr="00FC2380">
        <w:rPr>
          <w:sz w:val="20"/>
          <w:szCs w:val="20"/>
        </w:rPr>
        <w:t>meets ANSI S3.19 requirements.  Herkimer ARC will be the provider of this item which will be available to all State Agencies.  Work for persons with disabilities will include the following:</w:t>
      </w:r>
      <w:r w:rsidR="005B48BD" w:rsidRPr="00FC2380">
        <w:rPr>
          <w:sz w:val="20"/>
          <w:szCs w:val="20"/>
        </w:rPr>
        <w:t xml:space="preserve">  Removing item from master shipper of 36 individually boxed ear muffs; remove each ear muff from its box; make shipper; insert ear muff into a plastic bag and pack shipper with 6 ear muffs; close and label each shipper.  The raw material supplier for this item is McQuad</w:t>
      </w:r>
      <w:r w:rsidR="00F7775A" w:rsidRPr="00FC2380">
        <w:rPr>
          <w:sz w:val="20"/>
          <w:szCs w:val="20"/>
        </w:rPr>
        <w:t>e</w:t>
      </w:r>
      <w:r w:rsidR="005B48BD" w:rsidRPr="00FC2380">
        <w:rPr>
          <w:sz w:val="20"/>
          <w:szCs w:val="20"/>
        </w:rPr>
        <w:t xml:space="preserve"> &amp; </w:t>
      </w:r>
      <w:proofErr w:type="spellStart"/>
      <w:r w:rsidR="005B48BD" w:rsidRPr="00FC2380">
        <w:rPr>
          <w:sz w:val="20"/>
          <w:szCs w:val="20"/>
        </w:rPr>
        <w:t>Bannigan</w:t>
      </w:r>
      <w:proofErr w:type="spellEnd"/>
      <w:r w:rsidR="005B48BD" w:rsidRPr="00FC2380">
        <w:rPr>
          <w:sz w:val="20"/>
          <w:szCs w:val="20"/>
        </w:rPr>
        <w:t>, Inc. of E. Syracuse, New York.  It is anticipated that this commodity will provide a job for 1 disabled individual and the estimated</w:t>
      </w:r>
      <w:r w:rsidR="003506BC" w:rsidRPr="00FC2380">
        <w:rPr>
          <w:sz w:val="20"/>
          <w:szCs w:val="20"/>
        </w:rPr>
        <w:t xml:space="preserve"> sales volume is $14,068.00</w:t>
      </w:r>
    </w:p>
    <w:p w14:paraId="40ED9018" w14:textId="77777777" w:rsidR="00952328" w:rsidRPr="00FC2380" w:rsidRDefault="00952328" w:rsidP="00855140">
      <w:pPr>
        <w:jc w:val="both"/>
        <w:rPr>
          <w:sz w:val="20"/>
          <w:szCs w:val="20"/>
        </w:rPr>
      </w:pPr>
    </w:p>
    <w:p w14:paraId="74BDB84A" w14:textId="77777777" w:rsidR="006E4E5B" w:rsidRPr="00FC2380" w:rsidRDefault="002A1AB6" w:rsidP="00855140">
      <w:pPr>
        <w:jc w:val="both"/>
        <w:rPr>
          <w:b/>
          <w:sz w:val="20"/>
          <w:szCs w:val="20"/>
        </w:rPr>
      </w:pPr>
      <w:r w:rsidRPr="00FC2380">
        <w:rPr>
          <w:b/>
          <w:sz w:val="20"/>
          <w:szCs w:val="20"/>
        </w:rPr>
        <w:t>A1579 Hard Hat Bracket for CMT-26 Ear Muffs</w:t>
      </w:r>
    </w:p>
    <w:p w14:paraId="2D53EB57" w14:textId="77777777" w:rsidR="002A1AB6" w:rsidRPr="00FC2380" w:rsidRDefault="002A1AB6" w:rsidP="00855140">
      <w:pPr>
        <w:jc w:val="both"/>
        <w:rPr>
          <w:sz w:val="20"/>
          <w:szCs w:val="20"/>
        </w:rPr>
      </w:pPr>
      <w:r w:rsidRPr="00FC2380">
        <w:rPr>
          <w:sz w:val="20"/>
          <w:szCs w:val="20"/>
        </w:rPr>
        <w:t xml:space="preserve">This plastic bracket rests on the brim of a hard hat and it has two stems which plug into the CMT-26 Ear Muff </w:t>
      </w:r>
      <w:r w:rsidR="00006E4A" w:rsidRPr="00FC2380">
        <w:rPr>
          <w:sz w:val="20"/>
          <w:szCs w:val="20"/>
        </w:rPr>
        <w:t xml:space="preserve">allowing for the use of a face shield.  Herkimer ARC will be the provider of this item which will be available for all State Agencies.  Work for persons with disabilities will include the following:  Remove the item form incoming box of 60; verify that both helmet attaching parts operate; make a shipper, insert 6 brackets; close and label shipper.  The raw material supplier for this item is McQuade &amp; </w:t>
      </w:r>
      <w:proofErr w:type="spellStart"/>
      <w:r w:rsidR="00006E4A" w:rsidRPr="00FC2380">
        <w:rPr>
          <w:sz w:val="20"/>
          <w:szCs w:val="20"/>
        </w:rPr>
        <w:t>Bannigan</w:t>
      </w:r>
      <w:proofErr w:type="spellEnd"/>
      <w:r w:rsidR="00006E4A" w:rsidRPr="00FC2380">
        <w:rPr>
          <w:sz w:val="20"/>
          <w:szCs w:val="20"/>
        </w:rPr>
        <w:t>, Inc. of E. Syracuse, New York.</w:t>
      </w:r>
      <w:r w:rsidR="00F41546" w:rsidRPr="00FC2380">
        <w:rPr>
          <w:sz w:val="20"/>
          <w:szCs w:val="20"/>
        </w:rPr>
        <w:t xml:space="preserve">  It is anticipated that this commodity will provide </w:t>
      </w:r>
      <w:r w:rsidR="00F0552A" w:rsidRPr="00FC2380">
        <w:rPr>
          <w:sz w:val="20"/>
          <w:szCs w:val="20"/>
        </w:rPr>
        <w:t>a job</w:t>
      </w:r>
      <w:r w:rsidR="00F41546" w:rsidRPr="00FC2380">
        <w:rPr>
          <w:sz w:val="20"/>
          <w:szCs w:val="20"/>
        </w:rPr>
        <w:t xml:space="preserve"> for 1 disabled individual and the estimated sales volume is $11,847.00</w:t>
      </w:r>
    </w:p>
    <w:p w14:paraId="07783736" w14:textId="77777777" w:rsidR="005C4DC2" w:rsidRPr="00FC2380" w:rsidRDefault="005C4DC2" w:rsidP="00855140">
      <w:pPr>
        <w:jc w:val="both"/>
        <w:rPr>
          <w:b/>
          <w:sz w:val="20"/>
          <w:szCs w:val="20"/>
        </w:rPr>
      </w:pPr>
    </w:p>
    <w:p w14:paraId="29EAB47D" w14:textId="77777777" w:rsidR="009B1978" w:rsidRPr="00FC2380" w:rsidRDefault="009B1978" w:rsidP="00855140">
      <w:pPr>
        <w:jc w:val="both"/>
        <w:rPr>
          <w:b/>
          <w:sz w:val="20"/>
          <w:szCs w:val="20"/>
        </w:rPr>
      </w:pPr>
      <w:r w:rsidRPr="00FC2380">
        <w:rPr>
          <w:b/>
          <w:sz w:val="20"/>
          <w:szCs w:val="20"/>
        </w:rPr>
        <w:t xml:space="preserve">Baby Wipes, 6.7” X 7.7”, 864/ct. </w:t>
      </w:r>
      <w:proofErr w:type="gramStart"/>
      <w:r w:rsidRPr="00FC2380">
        <w:rPr>
          <w:b/>
          <w:sz w:val="20"/>
          <w:szCs w:val="20"/>
        </w:rPr>
        <w:t>/”Sensitive</w:t>
      </w:r>
      <w:proofErr w:type="gramEnd"/>
      <w:r w:rsidRPr="00FC2380">
        <w:rPr>
          <w:b/>
          <w:sz w:val="20"/>
          <w:szCs w:val="20"/>
        </w:rPr>
        <w:t xml:space="preserve"> Skin”</w:t>
      </w:r>
    </w:p>
    <w:p w14:paraId="2C1AD6C9" w14:textId="77777777" w:rsidR="009B1978" w:rsidRPr="00FC2380" w:rsidRDefault="009B1978" w:rsidP="00855140">
      <w:pPr>
        <w:jc w:val="both"/>
        <w:rPr>
          <w:sz w:val="20"/>
          <w:szCs w:val="20"/>
        </w:rPr>
      </w:pPr>
      <w:r w:rsidRPr="00FC2380">
        <w:rPr>
          <w:sz w:val="20"/>
          <w:szCs w:val="20"/>
        </w:rPr>
        <w:lastRenderedPageBreak/>
        <w:t xml:space="preserve">These premium Baby Wipes are made with Tri-Form fabric, a unique thick 3-layer wipe.  Tri-form fabric has been specially designed so that the outer two layers are </w:t>
      </w:r>
      <w:proofErr w:type="gramStart"/>
      <w:r w:rsidRPr="00FC2380">
        <w:rPr>
          <w:sz w:val="20"/>
          <w:szCs w:val="20"/>
        </w:rPr>
        <w:t>quilted</w:t>
      </w:r>
      <w:proofErr w:type="gramEnd"/>
      <w:r w:rsidRPr="00FC2380">
        <w:rPr>
          <w:sz w:val="20"/>
          <w:szCs w:val="20"/>
        </w:rPr>
        <w:t xml:space="preserve"> and cotton enhanced for exceptional cleansing while being gentle on a baby’s skin.  </w:t>
      </w:r>
      <w:r w:rsidR="00F41546" w:rsidRPr="00FC2380">
        <w:rPr>
          <w:sz w:val="20"/>
          <w:szCs w:val="20"/>
        </w:rPr>
        <w:t>The ARC Otsego</w:t>
      </w:r>
      <w:r w:rsidR="0066367F" w:rsidRPr="00FC2380">
        <w:rPr>
          <w:sz w:val="20"/>
          <w:szCs w:val="20"/>
        </w:rPr>
        <w:t xml:space="preserve"> will be the provider of this item which will be available to all State Agencies.  Work for persons with disabilities will include:  Receiving incoming materials and loading to production floor; manually inspect material for general condition and quantities; print labels; remove cases from bulk shipper; affix labels; </w:t>
      </w:r>
      <w:r w:rsidR="00F41546" w:rsidRPr="00FC2380">
        <w:rPr>
          <w:sz w:val="20"/>
          <w:szCs w:val="20"/>
        </w:rPr>
        <w:t>prepare 12 packs for stretch wrapping; palletize and transport to warehouse.  The raw material supplier for this item is First Quality Products (FQP) of Great Neck, New York.  It is anticipated that this commodity will provide jobs for</w:t>
      </w:r>
      <w:r w:rsidR="00F0552A" w:rsidRPr="00FC2380">
        <w:rPr>
          <w:sz w:val="20"/>
          <w:szCs w:val="20"/>
        </w:rPr>
        <w:t xml:space="preserve"> 1-2 disabled individuals and the estimated sales volume is $30,000.00.</w:t>
      </w:r>
    </w:p>
    <w:sectPr w:rsidR="009B1978" w:rsidRPr="00FC2380" w:rsidSect="00F7775A">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31A7" w14:textId="77777777" w:rsidR="00F24062" w:rsidRDefault="00F24062" w:rsidP="00FC2380">
      <w:r>
        <w:separator/>
      </w:r>
    </w:p>
  </w:endnote>
  <w:endnote w:type="continuationSeparator" w:id="0">
    <w:p w14:paraId="6F56F1FF" w14:textId="77777777" w:rsidR="00F24062" w:rsidRDefault="00F24062" w:rsidP="00FC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9E3D" w14:textId="77777777" w:rsidR="0039740D" w:rsidRPr="00FC2380" w:rsidRDefault="0039740D">
    <w:pPr>
      <w:pStyle w:val="Footer"/>
      <w:rPr>
        <w:sz w:val="18"/>
        <w:szCs w:val="18"/>
      </w:rPr>
    </w:pPr>
    <w:r w:rsidRPr="00FC2380">
      <w:rPr>
        <w:sz w:val="18"/>
        <w:szCs w:val="18"/>
      </w:rPr>
      <w:t>Preferred Source Applications under OGS Standing Authority</w:t>
    </w:r>
    <w:r w:rsidRPr="00FC2380">
      <w:rPr>
        <w:sz w:val="18"/>
        <w:szCs w:val="18"/>
      </w:rPr>
      <w:tab/>
    </w:r>
    <w:r w:rsidRPr="00FC2380">
      <w:rPr>
        <w:sz w:val="18"/>
        <w:szCs w:val="18"/>
      </w:rPr>
      <w:tab/>
    </w:r>
    <w:r w:rsidRPr="00FC2380">
      <w:rPr>
        <w:sz w:val="18"/>
        <w:szCs w:val="18"/>
      </w:rPr>
      <w:tab/>
    </w:r>
    <w:r w:rsidRPr="00FC2380">
      <w:rPr>
        <w:sz w:val="18"/>
        <w:szCs w:val="18"/>
      </w:rPr>
      <w:tab/>
    </w:r>
    <w:r w:rsidRPr="00FC2380">
      <w:rPr>
        <w:sz w:val="18"/>
        <w:szCs w:val="18"/>
      </w:rPr>
      <w:tab/>
    </w:r>
    <w:r w:rsidRPr="00FC2380">
      <w:rPr>
        <w:sz w:val="18"/>
        <w:szCs w:val="18"/>
      </w:rPr>
      <w:tab/>
      <w:t xml:space="preserve">Page # </w:t>
    </w:r>
    <w:r w:rsidRPr="00FC2380">
      <w:rPr>
        <w:sz w:val="18"/>
        <w:szCs w:val="18"/>
      </w:rPr>
      <w:fldChar w:fldCharType="begin"/>
    </w:r>
    <w:r w:rsidRPr="00FC2380">
      <w:rPr>
        <w:sz w:val="18"/>
        <w:szCs w:val="18"/>
      </w:rPr>
      <w:instrText xml:space="preserve"> PAGE  \* Arabic  \* MERGEFORMAT </w:instrText>
    </w:r>
    <w:r w:rsidRPr="00FC2380">
      <w:rPr>
        <w:sz w:val="18"/>
        <w:szCs w:val="18"/>
      </w:rPr>
      <w:fldChar w:fldCharType="separate"/>
    </w:r>
    <w:r w:rsidR="00AF2E4A">
      <w:rPr>
        <w:noProof/>
        <w:sz w:val="18"/>
        <w:szCs w:val="18"/>
      </w:rPr>
      <w:t>1</w:t>
    </w:r>
    <w:r w:rsidRPr="00FC238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FA1F7" w14:textId="77777777" w:rsidR="00F24062" w:rsidRDefault="00F24062" w:rsidP="00FC2380">
      <w:r>
        <w:separator/>
      </w:r>
    </w:p>
  </w:footnote>
  <w:footnote w:type="continuationSeparator" w:id="0">
    <w:p w14:paraId="6F0E8E26" w14:textId="77777777" w:rsidR="00F24062" w:rsidRDefault="00F24062" w:rsidP="00FC2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34D"/>
    <w:rsid w:val="00000924"/>
    <w:rsid w:val="00004DAB"/>
    <w:rsid w:val="00006E4A"/>
    <w:rsid w:val="00011FAA"/>
    <w:rsid w:val="00024EA0"/>
    <w:rsid w:val="00025B7D"/>
    <w:rsid w:val="000314CB"/>
    <w:rsid w:val="00037A73"/>
    <w:rsid w:val="000514C0"/>
    <w:rsid w:val="00056A12"/>
    <w:rsid w:val="00063889"/>
    <w:rsid w:val="000712CC"/>
    <w:rsid w:val="00072970"/>
    <w:rsid w:val="0007655F"/>
    <w:rsid w:val="00077C3B"/>
    <w:rsid w:val="00090476"/>
    <w:rsid w:val="000906AA"/>
    <w:rsid w:val="000A6A71"/>
    <w:rsid w:val="000B0D31"/>
    <w:rsid w:val="000B5644"/>
    <w:rsid w:val="000C54E8"/>
    <w:rsid w:val="000C7474"/>
    <w:rsid w:val="000E3159"/>
    <w:rsid w:val="000E476F"/>
    <w:rsid w:val="000F2F6F"/>
    <w:rsid w:val="001058BE"/>
    <w:rsid w:val="001349A4"/>
    <w:rsid w:val="00147375"/>
    <w:rsid w:val="00151FA9"/>
    <w:rsid w:val="00163975"/>
    <w:rsid w:val="00171504"/>
    <w:rsid w:val="00174CC1"/>
    <w:rsid w:val="00187A97"/>
    <w:rsid w:val="00192343"/>
    <w:rsid w:val="001B01FB"/>
    <w:rsid w:val="001F0DAF"/>
    <w:rsid w:val="001F1CDF"/>
    <w:rsid w:val="001F5C51"/>
    <w:rsid w:val="001F7889"/>
    <w:rsid w:val="00205BE5"/>
    <w:rsid w:val="00207A1C"/>
    <w:rsid w:val="002174AD"/>
    <w:rsid w:val="00231D53"/>
    <w:rsid w:val="002504CB"/>
    <w:rsid w:val="00266CED"/>
    <w:rsid w:val="002729DC"/>
    <w:rsid w:val="002A1AB6"/>
    <w:rsid w:val="002C55C1"/>
    <w:rsid w:val="002C771E"/>
    <w:rsid w:val="002D1F04"/>
    <w:rsid w:val="00307996"/>
    <w:rsid w:val="00312E87"/>
    <w:rsid w:val="003154E7"/>
    <w:rsid w:val="003178CD"/>
    <w:rsid w:val="00327328"/>
    <w:rsid w:val="003350B5"/>
    <w:rsid w:val="003441D5"/>
    <w:rsid w:val="003506BC"/>
    <w:rsid w:val="00351B69"/>
    <w:rsid w:val="00357DF8"/>
    <w:rsid w:val="00390D6A"/>
    <w:rsid w:val="0039243B"/>
    <w:rsid w:val="0039740D"/>
    <w:rsid w:val="003A083F"/>
    <w:rsid w:val="003B0A3A"/>
    <w:rsid w:val="00413F0C"/>
    <w:rsid w:val="004159DA"/>
    <w:rsid w:val="00436F5D"/>
    <w:rsid w:val="00437A58"/>
    <w:rsid w:val="0045668C"/>
    <w:rsid w:val="004704A2"/>
    <w:rsid w:val="00472C77"/>
    <w:rsid w:val="00474ED6"/>
    <w:rsid w:val="004A5BD6"/>
    <w:rsid w:val="004B48AA"/>
    <w:rsid w:val="004C02F4"/>
    <w:rsid w:val="004C5BA2"/>
    <w:rsid w:val="004D3BF8"/>
    <w:rsid w:val="004D5468"/>
    <w:rsid w:val="004E668A"/>
    <w:rsid w:val="0052034D"/>
    <w:rsid w:val="005209F9"/>
    <w:rsid w:val="00525588"/>
    <w:rsid w:val="005506E1"/>
    <w:rsid w:val="0056141E"/>
    <w:rsid w:val="00564A60"/>
    <w:rsid w:val="005651CC"/>
    <w:rsid w:val="00567C70"/>
    <w:rsid w:val="005942E9"/>
    <w:rsid w:val="005A4F00"/>
    <w:rsid w:val="005A5AA2"/>
    <w:rsid w:val="005B48BD"/>
    <w:rsid w:val="005B708B"/>
    <w:rsid w:val="005C36ED"/>
    <w:rsid w:val="005C4DC2"/>
    <w:rsid w:val="005D4250"/>
    <w:rsid w:val="005E30D6"/>
    <w:rsid w:val="005E6149"/>
    <w:rsid w:val="006022CA"/>
    <w:rsid w:val="00612B25"/>
    <w:rsid w:val="00620233"/>
    <w:rsid w:val="006227F2"/>
    <w:rsid w:val="00623C57"/>
    <w:rsid w:val="006355B6"/>
    <w:rsid w:val="006456D8"/>
    <w:rsid w:val="00663660"/>
    <w:rsid w:val="0066367F"/>
    <w:rsid w:val="00664F99"/>
    <w:rsid w:val="00676D64"/>
    <w:rsid w:val="00680A61"/>
    <w:rsid w:val="00682F3E"/>
    <w:rsid w:val="00685D3A"/>
    <w:rsid w:val="006A0DC7"/>
    <w:rsid w:val="006D0EBB"/>
    <w:rsid w:val="006D3432"/>
    <w:rsid w:val="006D6806"/>
    <w:rsid w:val="006E4E5B"/>
    <w:rsid w:val="007161FF"/>
    <w:rsid w:val="00724782"/>
    <w:rsid w:val="00751C9E"/>
    <w:rsid w:val="00761C2A"/>
    <w:rsid w:val="00773CFF"/>
    <w:rsid w:val="00781D07"/>
    <w:rsid w:val="00787F2A"/>
    <w:rsid w:val="00791C3E"/>
    <w:rsid w:val="007C1B8D"/>
    <w:rsid w:val="007D0AD1"/>
    <w:rsid w:val="007E32F4"/>
    <w:rsid w:val="007F04C4"/>
    <w:rsid w:val="007F3C31"/>
    <w:rsid w:val="007F54B5"/>
    <w:rsid w:val="00806688"/>
    <w:rsid w:val="00812B36"/>
    <w:rsid w:val="008144CB"/>
    <w:rsid w:val="00815F6A"/>
    <w:rsid w:val="008408FA"/>
    <w:rsid w:val="0085302E"/>
    <w:rsid w:val="00853B51"/>
    <w:rsid w:val="00855140"/>
    <w:rsid w:val="00860950"/>
    <w:rsid w:val="008777C7"/>
    <w:rsid w:val="00877D2A"/>
    <w:rsid w:val="008814C5"/>
    <w:rsid w:val="00891B7B"/>
    <w:rsid w:val="008B08B3"/>
    <w:rsid w:val="008C7CDA"/>
    <w:rsid w:val="008D374F"/>
    <w:rsid w:val="008E6AC7"/>
    <w:rsid w:val="0090058C"/>
    <w:rsid w:val="00941584"/>
    <w:rsid w:val="00952328"/>
    <w:rsid w:val="009735C8"/>
    <w:rsid w:val="00997A8E"/>
    <w:rsid w:val="009B1978"/>
    <w:rsid w:val="009B669F"/>
    <w:rsid w:val="009B73F0"/>
    <w:rsid w:val="009C39D6"/>
    <w:rsid w:val="009E4205"/>
    <w:rsid w:val="00A43440"/>
    <w:rsid w:val="00A450AC"/>
    <w:rsid w:val="00A5019C"/>
    <w:rsid w:val="00A74F32"/>
    <w:rsid w:val="00A925BB"/>
    <w:rsid w:val="00A94A47"/>
    <w:rsid w:val="00AA2475"/>
    <w:rsid w:val="00AB0745"/>
    <w:rsid w:val="00AB4833"/>
    <w:rsid w:val="00AC2C6E"/>
    <w:rsid w:val="00AE014B"/>
    <w:rsid w:val="00AE6AF9"/>
    <w:rsid w:val="00AF0B17"/>
    <w:rsid w:val="00AF2E4A"/>
    <w:rsid w:val="00B015D4"/>
    <w:rsid w:val="00B32421"/>
    <w:rsid w:val="00B33D28"/>
    <w:rsid w:val="00B55E75"/>
    <w:rsid w:val="00B64390"/>
    <w:rsid w:val="00B66274"/>
    <w:rsid w:val="00B717D5"/>
    <w:rsid w:val="00B87939"/>
    <w:rsid w:val="00B9519E"/>
    <w:rsid w:val="00B973CA"/>
    <w:rsid w:val="00BB6099"/>
    <w:rsid w:val="00BC66B0"/>
    <w:rsid w:val="00BE22E9"/>
    <w:rsid w:val="00C07951"/>
    <w:rsid w:val="00C16F67"/>
    <w:rsid w:val="00C25BED"/>
    <w:rsid w:val="00C42334"/>
    <w:rsid w:val="00C520A6"/>
    <w:rsid w:val="00C55C8F"/>
    <w:rsid w:val="00C57DAE"/>
    <w:rsid w:val="00C602BC"/>
    <w:rsid w:val="00C64DC0"/>
    <w:rsid w:val="00C81EDE"/>
    <w:rsid w:val="00CC3FD8"/>
    <w:rsid w:val="00CC7810"/>
    <w:rsid w:val="00CD6A2A"/>
    <w:rsid w:val="00CF471E"/>
    <w:rsid w:val="00D177BD"/>
    <w:rsid w:val="00D40919"/>
    <w:rsid w:val="00D762ED"/>
    <w:rsid w:val="00D84AE4"/>
    <w:rsid w:val="00D94A54"/>
    <w:rsid w:val="00D9735F"/>
    <w:rsid w:val="00D97B01"/>
    <w:rsid w:val="00DA2F3D"/>
    <w:rsid w:val="00DA7395"/>
    <w:rsid w:val="00DE3CFC"/>
    <w:rsid w:val="00DE4035"/>
    <w:rsid w:val="00DF076C"/>
    <w:rsid w:val="00DF0BEF"/>
    <w:rsid w:val="00DF7F74"/>
    <w:rsid w:val="00E12EDC"/>
    <w:rsid w:val="00E21391"/>
    <w:rsid w:val="00E27B2A"/>
    <w:rsid w:val="00E502D3"/>
    <w:rsid w:val="00E551A7"/>
    <w:rsid w:val="00E737BD"/>
    <w:rsid w:val="00E748B8"/>
    <w:rsid w:val="00EA5D12"/>
    <w:rsid w:val="00EB39CF"/>
    <w:rsid w:val="00ED7883"/>
    <w:rsid w:val="00F03325"/>
    <w:rsid w:val="00F0552A"/>
    <w:rsid w:val="00F11954"/>
    <w:rsid w:val="00F16E4D"/>
    <w:rsid w:val="00F24062"/>
    <w:rsid w:val="00F26FD4"/>
    <w:rsid w:val="00F277FD"/>
    <w:rsid w:val="00F41546"/>
    <w:rsid w:val="00F419D0"/>
    <w:rsid w:val="00F4647A"/>
    <w:rsid w:val="00F7775A"/>
    <w:rsid w:val="00F934AE"/>
    <w:rsid w:val="00FA1E83"/>
    <w:rsid w:val="00FA562E"/>
    <w:rsid w:val="00FB15EF"/>
    <w:rsid w:val="00FB49A7"/>
    <w:rsid w:val="00FC2380"/>
    <w:rsid w:val="00FC3FA6"/>
    <w:rsid w:val="00FE46CA"/>
    <w:rsid w:val="00FE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4ED22"/>
  <w15:docId w15:val="{1671999C-5460-E94F-96CA-044CE84C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BE5"/>
    <w:rPr>
      <w:color w:val="0000FF"/>
      <w:u w:val="single"/>
    </w:rPr>
  </w:style>
  <w:style w:type="paragraph" w:styleId="NormalWeb">
    <w:name w:val="Normal (Web)"/>
    <w:basedOn w:val="Normal"/>
    <w:rsid w:val="00205BE5"/>
    <w:pPr>
      <w:spacing w:before="100" w:beforeAutospacing="1" w:after="100" w:afterAutospacing="1"/>
    </w:pPr>
  </w:style>
  <w:style w:type="paragraph" w:styleId="BalloonText">
    <w:name w:val="Balloon Text"/>
    <w:basedOn w:val="Normal"/>
    <w:semiHidden/>
    <w:rsid w:val="007C1B8D"/>
    <w:rPr>
      <w:rFonts w:ascii="Tahoma" w:hAnsi="Tahoma" w:cs="Tahoma"/>
      <w:sz w:val="16"/>
      <w:szCs w:val="16"/>
    </w:rPr>
  </w:style>
  <w:style w:type="table" w:styleId="TableGrid">
    <w:name w:val="Table Grid"/>
    <w:basedOn w:val="TableNormal"/>
    <w:rsid w:val="00E50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2380"/>
    <w:pPr>
      <w:tabs>
        <w:tab w:val="center" w:pos="4680"/>
        <w:tab w:val="right" w:pos="9360"/>
      </w:tabs>
    </w:pPr>
  </w:style>
  <w:style w:type="character" w:customStyle="1" w:styleId="HeaderChar">
    <w:name w:val="Header Char"/>
    <w:basedOn w:val="DefaultParagraphFont"/>
    <w:link w:val="Header"/>
    <w:rsid w:val="00FC2380"/>
    <w:rPr>
      <w:sz w:val="24"/>
      <w:szCs w:val="24"/>
    </w:rPr>
  </w:style>
  <w:style w:type="paragraph" w:styleId="Footer">
    <w:name w:val="footer"/>
    <w:basedOn w:val="Normal"/>
    <w:link w:val="FooterChar"/>
    <w:rsid w:val="00FC2380"/>
    <w:pPr>
      <w:tabs>
        <w:tab w:val="center" w:pos="4680"/>
        <w:tab w:val="right" w:pos="9360"/>
      </w:tabs>
    </w:pPr>
  </w:style>
  <w:style w:type="character" w:customStyle="1" w:styleId="FooterChar">
    <w:name w:val="Footer Char"/>
    <w:basedOn w:val="DefaultParagraphFont"/>
    <w:link w:val="Footer"/>
    <w:rsid w:val="00FC23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416239">
      <w:bodyDiv w:val="1"/>
      <w:marLeft w:val="0"/>
      <w:marRight w:val="0"/>
      <w:marTop w:val="0"/>
      <w:marBottom w:val="0"/>
      <w:divBdr>
        <w:top w:val="none" w:sz="0" w:space="0" w:color="auto"/>
        <w:left w:val="none" w:sz="0" w:space="0" w:color="auto"/>
        <w:bottom w:val="none" w:sz="0" w:space="0" w:color="auto"/>
        <w:right w:val="none" w:sz="0" w:space="0" w:color="auto"/>
      </w:divBdr>
      <w:divsChild>
        <w:div w:id="507141629">
          <w:marLeft w:val="0"/>
          <w:marRight w:val="0"/>
          <w:marTop w:val="0"/>
          <w:marBottom w:val="0"/>
          <w:divBdr>
            <w:top w:val="none" w:sz="0" w:space="0" w:color="auto"/>
            <w:left w:val="none" w:sz="0" w:space="0" w:color="auto"/>
            <w:bottom w:val="none" w:sz="0" w:space="0" w:color="auto"/>
            <w:right w:val="none" w:sz="0" w:space="0" w:color="auto"/>
          </w:divBdr>
          <w:divsChild>
            <w:div w:id="1421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A78A4-E54C-4B4B-AE1F-56EDE235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4184</Characters>
  <Application>Microsoft Office Word</Application>
  <DocSecurity>0</DocSecurity>
  <Lines>104</Lines>
  <Paragraphs>67</Paragraphs>
  <ScaleCrop>false</ScaleCrop>
  <HeadingPairs>
    <vt:vector size="2" baseType="variant">
      <vt:variant>
        <vt:lpstr>Title</vt:lpstr>
      </vt:variant>
      <vt:variant>
        <vt:i4>1</vt:i4>
      </vt:variant>
    </vt:vector>
  </HeadingPairs>
  <TitlesOfParts>
    <vt:vector size="1" baseType="lpstr">
      <vt:lpstr>Preferred Source Applications Approved by OGS</vt:lpstr>
    </vt:vector>
  </TitlesOfParts>
  <Manager>OGS Digital Communications; </Manager>
  <Company>New York State - Office of General Services</Company>
  <LinksUpToDate>false</LinksUpToDate>
  <CharactersWithSpaces>4962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October 30, 2013 Preferred Source Applications Approved by OGS</dc:title>
  <dc:subject>NYS Procurement Council, October 30, 2013 Preferred Source Applications Approved by OGS</dc:subject>
  <dc:creator>User</dc:creator>
  <cp:keywords>NYS Procurement Council, October 30, 2013 Preferred Source Applications Approved by OGS</cp:keywords>
  <dc:description/>
  <cp:lastModifiedBy>Lynn, Cheska (OGS)</cp:lastModifiedBy>
  <cp:revision>3</cp:revision>
  <cp:lastPrinted>2013-10-29T13:03:00Z</cp:lastPrinted>
  <dcterms:created xsi:type="dcterms:W3CDTF">2013-10-31T14:08:00Z</dcterms:created>
  <dcterms:modified xsi:type="dcterms:W3CDTF">2019-02-04T20:35:00Z</dcterms:modified>
  <cp:category/>
</cp:coreProperties>
</file>