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6FFD717E"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bookmarkStart w:id="0" w:name="_GoBack"/>
      <w:r w:rsidR="005E3163" w:rsidRPr="00834623">
        <w:rPr>
          <w:rFonts w:ascii="Times New Roman" w:hAnsi="Times New Roman" w:cs="Times New Roman"/>
        </w:rPr>
        <w:fldChar w:fldCharType="begin">
          <w:ffData>
            <w:name w:val="Check3"/>
            <w:enabled/>
            <w:calcOnExit w:val="0"/>
            <w:checkBox>
              <w:sizeAuto/>
              <w:default w:val="0"/>
              <w:checked w:val="0"/>
            </w:checkBox>
          </w:ffData>
        </w:fldChar>
      </w:r>
      <w:bookmarkStart w:id="1" w:name="Check3"/>
      <w:r w:rsidR="005E3163" w:rsidRPr="00834623">
        <w:rPr>
          <w:rFonts w:ascii="Times New Roman" w:hAnsi="Times New Roman" w:cs="Times New Roman"/>
        </w:rPr>
        <w:instrText xml:space="preserve"> FORMCHECKBOX </w:instrText>
      </w:r>
      <w:r w:rsidR="005179E7">
        <w:rPr>
          <w:rFonts w:ascii="Times New Roman" w:hAnsi="Times New Roman" w:cs="Times New Roman"/>
        </w:rPr>
      </w:r>
      <w:r w:rsidR="005179E7">
        <w:rPr>
          <w:rFonts w:ascii="Times New Roman" w:hAnsi="Times New Roman" w:cs="Times New Roman"/>
        </w:rPr>
        <w:fldChar w:fldCharType="separate"/>
      </w:r>
      <w:r w:rsidR="005E3163" w:rsidRPr="00834623">
        <w:rPr>
          <w:rFonts w:ascii="Times New Roman" w:hAnsi="Times New Roman" w:cs="Times New Roman"/>
        </w:rPr>
        <w:fldChar w:fldCharType="end"/>
      </w:r>
      <w:bookmarkEnd w:id="1"/>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ed w:val="0"/>
            </w:checkBox>
          </w:ffData>
        </w:fldChar>
      </w:r>
      <w:bookmarkStart w:id="2" w:name="Check4"/>
      <w:r w:rsidR="005E3163" w:rsidRPr="00834623">
        <w:rPr>
          <w:rFonts w:ascii="Times New Roman" w:hAnsi="Times New Roman" w:cs="Times New Roman"/>
        </w:rPr>
        <w:instrText xml:space="preserve"> FORMCHECKBOX </w:instrText>
      </w:r>
      <w:r w:rsidR="005179E7">
        <w:rPr>
          <w:rFonts w:ascii="Times New Roman" w:hAnsi="Times New Roman" w:cs="Times New Roman"/>
        </w:rPr>
      </w:r>
      <w:r w:rsidR="005179E7">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5179E7">
        <w:rPr>
          <w:rFonts w:ascii="Times New Roman" w:hAnsi="Times New Roman" w:cs="Times New Roman"/>
        </w:rPr>
      </w:r>
      <w:r w:rsidR="005179E7">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5179E7">
        <w:rPr>
          <w:rFonts w:ascii="Times New Roman" w:hAnsi="Times New Roman" w:cs="Times New Roman"/>
        </w:rPr>
      </w:r>
      <w:r w:rsidR="005179E7">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F20214">
      <w:headerReference w:type="default" r:id="rId7"/>
      <w:footerReference w:type="default" r:id="rId8"/>
      <w:pgSz w:w="12240" w:h="15840"/>
      <w:pgMar w:top="1440" w:right="1260" w:bottom="115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3DD13F94" w:rsidR="00135532" w:rsidRPr="00FD60FC" w:rsidRDefault="005179E7">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4F3DEB">
          <w:rPr>
            <w:rFonts w:ascii="Times New Roman" w:hAnsi="Times New Roman" w:cs="Times New Roman"/>
            <w:iCs/>
            <w:sz w:val="20"/>
            <w:szCs w:val="20"/>
          </w:rPr>
          <w:t>2321</w:t>
        </w:r>
        <w:r w:rsidR="006D1AE7">
          <w:rPr>
            <w:rFonts w:ascii="Times New Roman" w:hAnsi="Times New Roman" w:cs="Times New Roman"/>
            <w:iCs/>
            <w:sz w:val="20"/>
            <w:szCs w:val="20"/>
          </w:rPr>
          <w:t>1</w:t>
        </w:r>
        <w:r w:rsidR="004F3DEB">
          <w:rPr>
            <w:rFonts w:ascii="Times New Roman" w:hAnsi="Times New Roman" w:cs="Times New Roman"/>
            <w:iCs/>
            <w:sz w:val="20"/>
            <w:szCs w:val="20"/>
          </w:rPr>
          <w:t xml:space="preserve"> </w:t>
        </w:r>
        <w:r w:rsidR="00D50A49">
          <w:rPr>
            <w:rFonts w:ascii="Times New Roman" w:hAnsi="Times New Roman" w:cs="Times New Roman"/>
            <w:sz w:val="20"/>
            <w:szCs w:val="20"/>
          </w:rPr>
          <w:t>Attachment</w:t>
        </w:r>
        <w:r w:rsidR="004F3DEB">
          <w:rPr>
            <w:rFonts w:ascii="Times New Roman" w:hAnsi="Times New Roman" w:cs="Times New Roman"/>
            <w:sz w:val="20"/>
            <w:szCs w:val="20"/>
          </w:rPr>
          <w:t xml:space="preserve"> 2 – NYS Required 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484494C0" w:rsidR="001005B6" w:rsidRPr="00FD60FC" w:rsidRDefault="004F3DEB" w:rsidP="00B13F2B">
    <w:pPr>
      <w:pStyle w:val="Header"/>
      <w:tabs>
        <w:tab w:val="left" w:pos="900"/>
      </w:tabs>
      <w:ind w:right="18"/>
      <w:rPr>
        <w:rStyle w:val="PageNumber"/>
        <w:rFonts w:ascii="Times New Roman" w:hAnsi="Times New Roman" w:cs="Times New Roman"/>
        <w:b/>
      </w:rPr>
    </w:pPr>
    <w:r w:rsidRPr="004F3DEB">
      <w:rPr>
        <w:rFonts w:ascii="Times New Roman" w:hAnsi="Times New Roman" w:cs="Times New Roman"/>
        <w:b/>
      </w:rPr>
      <w:t>GROUP</w:t>
    </w:r>
    <w:r w:rsidRPr="004F3DEB">
      <w:rPr>
        <w:rFonts w:ascii="Times New Roman" w:hAnsi="Times New Roman" w:cs="Times New Roman"/>
        <w:b/>
      </w:rPr>
      <w:tab/>
      <w:t>7</w:t>
    </w:r>
    <w:r w:rsidR="006D1AE7">
      <w:rPr>
        <w:rFonts w:ascii="Times New Roman" w:hAnsi="Times New Roman" w:cs="Times New Roman"/>
        <w:b/>
      </w:rPr>
      <w:t>9005</w:t>
    </w:r>
    <w:r w:rsidRPr="004F3DEB">
      <w:rPr>
        <w:rFonts w:ascii="Times New Roman" w:hAnsi="Times New Roman" w:cs="Times New Roman"/>
        <w:b/>
      </w:rPr>
      <w:t xml:space="preserve"> – </w:t>
    </w:r>
    <w:r w:rsidR="006D1AE7">
      <w:rPr>
        <w:rFonts w:ascii="Times New Roman" w:hAnsi="Times New Roman" w:cs="Times New Roman"/>
        <w:b/>
      </w:rPr>
      <w:t>TRAVEL MANAGEMENT</w:t>
    </w:r>
    <w:r w:rsidRPr="004F3DEB">
      <w:rPr>
        <w:rFonts w:ascii="Times New Roman" w:hAnsi="Times New Roman" w:cs="Times New Roman"/>
        <w:b/>
      </w:rPr>
      <w:t xml:space="preserve"> SERVICES (STATEWIDE) </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2h6InKs7ENGqEy9zuCtV/zBh+d0y1MUDUfCyd/AebOCEQbnOJgOmmpYZo00KgpSPrAVdxLs3SXVgdbdzTt62g==" w:salt="MegB3zhtPa6+pBMp4KgRgQ=="/>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297877"/>
    <w:rsid w:val="002E7222"/>
    <w:rsid w:val="00307031"/>
    <w:rsid w:val="00335251"/>
    <w:rsid w:val="00372F0D"/>
    <w:rsid w:val="003732E5"/>
    <w:rsid w:val="003A4151"/>
    <w:rsid w:val="00417FF6"/>
    <w:rsid w:val="004B4016"/>
    <w:rsid w:val="004F3DEB"/>
    <w:rsid w:val="004F535B"/>
    <w:rsid w:val="005179E7"/>
    <w:rsid w:val="00543016"/>
    <w:rsid w:val="00581C39"/>
    <w:rsid w:val="0058644D"/>
    <w:rsid w:val="00592FFE"/>
    <w:rsid w:val="005A649E"/>
    <w:rsid w:val="005C4C24"/>
    <w:rsid w:val="005D74AF"/>
    <w:rsid w:val="005E3163"/>
    <w:rsid w:val="005F5363"/>
    <w:rsid w:val="006060EA"/>
    <w:rsid w:val="00631D3C"/>
    <w:rsid w:val="00650235"/>
    <w:rsid w:val="006C173C"/>
    <w:rsid w:val="006D1AE7"/>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0214"/>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Allen, Terri L (OGS)</cp:lastModifiedBy>
  <cp:revision>2</cp:revision>
  <cp:lastPrinted>2015-05-12T17:50:00Z</cp:lastPrinted>
  <dcterms:created xsi:type="dcterms:W3CDTF">2020-09-29T20:04:00Z</dcterms:created>
  <dcterms:modified xsi:type="dcterms:W3CDTF">2020-09-29T20:04:00Z</dcterms:modified>
</cp:coreProperties>
</file>